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tLeast"/>
        <w:jc w:val="center"/>
        <w:textAlignment w:val="baseline"/>
        <w:rPr>
          <w:rFonts w:hint="eastAsia" w:ascii="微软雅黑" w:hAnsi="微软雅黑" w:eastAsia="微软雅黑"/>
          <w:color w:val="3E3E3E"/>
          <w:sz w:val="44"/>
          <w:szCs w:val="44"/>
        </w:rPr>
      </w:pPr>
      <w:r>
        <w:rPr>
          <w:rFonts w:hint="eastAsia" w:ascii="微软雅黑" w:hAnsi="微软雅黑" w:eastAsia="微软雅黑"/>
          <w:color w:val="3E3E3E"/>
          <w:sz w:val="44"/>
          <w:szCs w:val="44"/>
        </w:rPr>
        <w:t> </w:t>
      </w:r>
      <w:r>
        <w:rPr>
          <w:rStyle w:val="4"/>
          <w:rFonts w:hint="eastAsia"/>
          <w:color w:val="3E3E3E"/>
          <w:sz w:val="44"/>
          <w:szCs w:val="44"/>
        </w:rPr>
        <w:t>关于科技人员取得职务科技成果转化现金奖励有关个人所得税政策的通知</w:t>
      </w:r>
    </w:p>
    <w:p>
      <w:pPr>
        <w:pStyle w:val="2"/>
        <w:shd w:val="clear" w:color="auto" w:fill="FFFFFF"/>
        <w:spacing w:before="0" w:beforeAutospacing="0" w:after="0" w:afterAutospacing="0" w:line="360" w:lineRule="atLeast"/>
        <w:jc w:val="center"/>
        <w:textAlignment w:val="baseline"/>
        <w:rPr>
          <w:rFonts w:hint="eastAsia" w:ascii="微软雅黑" w:hAnsi="微软雅黑" w:eastAsia="微软雅黑"/>
          <w:color w:val="3E3E3E"/>
          <w:sz w:val="28"/>
          <w:szCs w:val="28"/>
        </w:rPr>
      </w:pPr>
      <w:r>
        <w:rPr>
          <w:rStyle w:val="4"/>
          <w:rFonts w:hint="eastAsia"/>
          <w:color w:val="3E3E3E"/>
          <w:sz w:val="28"/>
          <w:szCs w:val="28"/>
        </w:rPr>
        <w:t>财税〔</w:t>
      </w:r>
      <w:r>
        <w:rPr>
          <w:rStyle w:val="4"/>
          <w:rFonts w:hint="eastAsia" w:ascii="微软雅黑" w:hAnsi="微软雅黑" w:eastAsia="微软雅黑"/>
          <w:color w:val="3E3E3E"/>
          <w:sz w:val="28"/>
          <w:szCs w:val="28"/>
        </w:rPr>
        <w:t>2018</w:t>
      </w:r>
      <w:r>
        <w:rPr>
          <w:rStyle w:val="4"/>
          <w:rFonts w:hint="eastAsia"/>
          <w:color w:val="3E3E3E"/>
          <w:sz w:val="28"/>
          <w:szCs w:val="28"/>
        </w:rPr>
        <w:t>〕</w:t>
      </w:r>
      <w:r>
        <w:rPr>
          <w:rStyle w:val="4"/>
          <w:rFonts w:hint="eastAsia" w:ascii="微软雅黑" w:hAnsi="微软雅黑" w:eastAsia="微软雅黑"/>
          <w:color w:val="3E3E3E"/>
          <w:sz w:val="28"/>
          <w:szCs w:val="28"/>
        </w:rPr>
        <w:t>58</w:t>
      </w:r>
      <w:r>
        <w:rPr>
          <w:rStyle w:val="4"/>
          <w:rFonts w:hint="eastAsia"/>
          <w:color w:val="3E3E3E"/>
          <w:sz w:val="28"/>
          <w:szCs w:val="28"/>
        </w:rPr>
        <w:t>号</w:t>
      </w:r>
    </w:p>
    <w:p>
      <w:pPr>
        <w:pStyle w:val="2"/>
        <w:shd w:val="clear" w:color="auto" w:fill="FFFFFF"/>
        <w:spacing w:before="0" w:beforeAutospacing="0" w:after="0" w:afterAutospacing="0" w:line="360" w:lineRule="atLeast"/>
        <w:textAlignment w:val="baseline"/>
        <w:rPr>
          <w:rFonts w:hint="eastAsia" w:ascii="仿宋" w:hAnsi="仿宋" w:eastAsia="仿宋" w:cs="仿宋"/>
          <w:color w:val="3E3E3E"/>
          <w:sz w:val="32"/>
          <w:szCs w:val="32"/>
        </w:rPr>
      </w:pPr>
      <w:r>
        <w:rPr>
          <w:rFonts w:hint="eastAsia"/>
          <w:color w:val="3E3E3E"/>
        </w:rPr>
        <w:br w:type="textWrapping"/>
      </w:r>
      <w:bookmarkStart w:id="0" w:name="_GoBack"/>
      <w:bookmarkEnd w:id="0"/>
      <w:r>
        <w:rPr>
          <w:rFonts w:hint="eastAsia" w:ascii="仿宋" w:hAnsi="仿宋" w:eastAsia="仿宋" w:cs="仿宋"/>
          <w:color w:val="3E3E3E"/>
          <w:sz w:val="32"/>
          <w:szCs w:val="32"/>
        </w:rPr>
        <w:t>各省、自治区、直辖市、计划单列市财政厅（局）、地方税务局、科技厅（委、局），新疆生产建设兵团财政局、科技局：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为进一步支持国家大众创业、万众创新战略的实施，促进科技成果转化，现将科技人员取得职务科技成果转化现金奖励有关个人所得税政策通知如下：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一、依法批准设立的非营利性研究开发机构和高等学校（以下简称非营利性科研机构和高校）根据《中华人民共和国促进科技成果转化法》规定，从职务科技成果转化收入中给予科技人员的现金奖励，可减按</w:t>
      </w:r>
      <w:r>
        <w:rPr>
          <w:rFonts w:hint="eastAsia" w:ascii="仿宋" w:hAnsi="仿宋" w:eastAsia="仿宋" w:cs="仿宋"/>
          <w:color w:val="3E3E3E"/>
          <w:sz w:val="32"/>
          <w:szCs w:val="32"/>
        </w:rPr>
        <w:t>50%</w:t>
      </w:r>
      <w:r>
        <w:rPr>
          <w:rFonts w:hint="eastAsia" w:ascii="仿宋" w:hAnsi="仿宋" w:eastAsia="仿宋" w:cs="仿宋"/>
          <w:color w:val="3E3E3E"/>
          <w:sz w:val="32"/>
          <w:szCs w:val="32"/>
        </w:rPr>
        <w:t>计入科技人员当月“工资、薪金所得”，依法缴纳个人所得税。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二、非营利性科研机构和高校包括国家设立的科研机构和高校、民办非营利性科研机构和高校。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三、国家设立的科研机构和高校是指利用财政性资金设立的、取得《事业单位法人证书》的科研机构和公办高校，包括中央和地方所属科研机构和高校。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四、民办非营利性科研机构和高校，是指同时满足以下条件的科研机构和高校：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（一）根据《民办非企业单位登记管理暂行条例》在民政部门登记，并取得《民办非企业单位登记证书》。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对于民办非营利性高校，应取得教育主管部门颁发的《民办学校办学许可证》，《民办学校办学许可证》记载学校类型为“高等学校”。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（三）经认定取得企业所得税非营利组织免税资格。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五、科技人员享受本通知规定税收优惠政策，须同时符合以下条件：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一）科技人员是指非营利性科研机构和高校中对完成或转化职务科技成果作出重要贡献的人员。非营利性科研机构和高校应按规定公示有关科技人员名单及相关信息（国防专利转化除外），具体公示办法由科技部会同财政部、税务总局制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（二）科技成果是指专利技术（含国防专利）、计算机软件著作权、集成电路布图设计专有权、植物新品种权、生物医药新品种，以及科技部、财政部、税务总局确定的其他技术成果。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（三）科技成果转化是指非营利性科研机构和高校向他人转让科技成果或者许可他人使用科技成果。现金奖励是指非营利性科研机构和高校在取得科技成果转化收入三年（</w:t>
      </w:r>
      <w:r>
        <w:rPr>
          <w:rFonts w:hint="eastAsia" w:ascii="仿宋" w:hAnsi="仿宋" w:eastAsia="仿宋" w:cs="仿宋"/>
          <w:color w:val="3E3E3E"/>
          <w:sz w:val="32"/>
          <w:szCs w:val="32"/>
        </w:rPr>
        <w:t>36</w:t>
      </w:r>
      <w:r>
        <w:rPr>
          <w:rFonts w:hint="eastAsia" w:ascii="仿宋" w:hAnsi="仿宋" w:eastAsia="仿宋" w:cs="仿宋"/>
          <w:color w:val="3E3E3E"/>
          <w:sz w:val="32"/>
          <w:szCs w:val="32"/>
        </w:rPr>
        <w:t>个月）内奖励给科技人员的现金。</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（四）非营利性科研机构和高校转化科技成果，应当签订技术合同，并根据《技术合同认定登记管理办法》，在技术合同登记机构进行审核登记，并取得技术合同认定登记证明。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非营利性科研机构和高校应健全科技成果转化的资金核算，不得将正常工资、奖金等收入列入科技人员职务科技成果转化现金奖励享受税收优惠。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六、非营利性科研机构和高校向科技人员发放现金奖励时，应按个人所得税法规定代扣代缴个人所得税，并按规定向税务机关履行备案手续。</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七、本通知自</w:t>
      </w:r>
      <w:r>
        <w:rPr>
          <w:rFonts w:hint="eastAsia" w:ascii="仿宋" w:hAnsi="仿宋" w:eastAsia="仿宋" w:cs="仿宋"/>
          <w:color w:val="3E3E3E"/>
          <w:sz w:val="32"/>
          <w:szCs w:val="32"/>
        </w:rPr>
        <w:t>2018</w:t>
      </w:r>
      <w:r>
        <w:rPr>
          <w:rFonts w:hint="eastAsia" w:ascii="仿宋" w:hAnsi="仿宋" w:eastAsia="仿宋" w:cs="仿宋"/>
          <w:color w:val="3E3E3E"/>
          <w:sz w:val="32"/>
          <w:szCs w:val="32"/>
        </w:rPr>
        <w:t>年</w:t>
      </w:r>
      <w:r>
        <w:rPr>
          <w:rFonts w:hint="eastAsia" w:ascii="仿宋" w:hAnsi="仿宋" w:eastAsia="仿宋" w:cs="仿宋"/>
          <w:color w:val="3E3E3E"/>
          <w:sz w:val="32"/>
          <w:szCs w:val="32"/>
        </w:rPr>
        <w:t>7</w:t>
      </w:r>
      <w:r>
        <w:rPr>
          <w:rFonts w:hint="eastAsia" w:ascii="仿宋" w:hAnsi="仿宋" w:eastAsia="仿宋" w:cs="仿宋"/>
          <w:color w:val="3E3E3E"/>
          <w:sz w:val="32"/>
          <w:szCs w:val="32"/>
        </w:rPr>
        <w:t>月</w:t>
      </w:r>
      <w:r>
        <w:rPr>
          <w:rFonts w:hint="eastAsia" w:ascii="仿宋" w:hAnsi="仿宋" w:eastAsia="仿宋" w:cs="仿宋"/>
          <w:color w:val="3E3E3E"/>
          <w:sz w:val="32"/>
          <w:szCs w:val="32"/>
        </w:rPr>
        <w:t>1</w:t>
      </w:r>
      <w:r>
        <w:rPr>
          <w:rFonts w:hint="eastAsia" w:ascii="仿宋" w:hAnsi="仿宋" w:eastAsia="仿宋" w:cs="仿宋"/>
          <w:color w:val="3E3E3E"/>
          <w:sz w:val="32"/>
          <w:szCs w:val="32"/>
        </w:rPr>
        <w:t>日起施行。本通知施行前非营利性科研机构和高校取得的科技成果转化收入，自施行后</w:t>
      </w:r>
      <w:r>
        <w:rPr>
          <w:rFonts w:hint="eastAsia" w:ascii="仿宋" w:hAnsi="仿宋" w:eastAsia="仿宋" w:cs="仿宋"/>
          <w:color w:val="3E3E3E"/>
          <w:sz w:val="32"/>
          <w:szCs w:val="32"/>
        </w:rPr>
        <w:t>36</w:t>
      </w:r>
      <w:r>
        <w:rPr>
          <w:rFonts w:hint="eastAsia" w:ascii="仿宋" w:hAnsi="仿宋" w:eastAsia="仿宋" w:cs="仿宋"/>
          <w:color w:val="3E3E3E"/>
          <w:sz w:val="32"/>
          <w:szCs w:val="32"/>
        </w:rPr>
        <w:t>个月内给科技人员发放现金奖励，符合本通知规定的其他条件的，适用本通知。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right"/>
        <w:textAlignment w:val="baseline"/>
        <w:outlineLvl w:val="9"/>
        <w:rPr>
          <w:rFonts w:hint="eastAsia" w:ascii="仿宋" w:hAnsi="仿宋" w:eastAsia="仿宋" w:cs="仿宋"/>
          <w:color w:val="3E3E3E"/>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right"/>
        <w:textAlignment w:val="baseline"/>
        <w:outlineLvl w:val="9"/>
        <w:rPr>
          <w:rFonts w:hint="eastAsia" w:ascii="仿宋" w:hAnsi="仿宋" w:eastAsia="仿宋" w:cs="仿宋"/>
          <w:color w:val="3E3E3E"/>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right"/>
        <w:textAlignment w:val="baseline"/>
        <w:outlineLvl w:val="9"/>
        <w:rPr>
          <w:rFonts w:hint="eastAsia" w:ascii="仿宋" w:hAnsi="仿宋" w:eastAsia="仿宋" w:cs="仿宋"/>
          <w:color w:val="3E3E3E"/>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right"/>
        <w:textAlignment w:val="baseline"/>
        <w:outlineLvl w:val="9"/>
        <w:rPr>
          <w:rFonts w:hint="eastAsia" w:ascii="仿宋" w:hAnsi="仿宋" w:eastAsia="仿宋" w:cs="仿宋"/>
          <w:color w:val="3E3E3E"/>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lang w:val="en-US" w:eastAsia="zh-CN"/>
        </w:rPr>
        <w:t xml:space="preserve">                     </w:t>
      </w:r>
      <w:r>
        <w:rPr>
          <w:rFonts w:hint="eastAsia" w:ascii="仿宋" w:hAnsi="仿宋" w:eastAsia="仿宋" w:cs="仿宋"/>
          <w:color w:val="3E3E3E"/>
          <w:sz w:val="32"/>
          <w:szCs w:val="32"/>
        </w:rPr>
        <w:t>财政部　税务总局　科技部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lang w:val="en-US" w:eastAsia="zh-CN"/>
        </w:rPr>
        <w:t xml:space="preserve">                     </w:t>
      </w:r>
      <w:r>
        <w:rPr>
          <w:rFonts w:hint="eastAsia" w:ascii="仿宋" w:hAnsi="仿宋" w:eastAsia="仿宋" w:cs="仿宋"/>
          <w:color w:val="3E3E3E"/>
          <w:sz w:val="32"/>
          <w:szCs w:val="32"/>
        </w:rPr>
        <w:t>2018</w:t>
      </w:r>
      <w:r>
        <w:rPr>
          <w:rFonts w:hint="eastAsia" w:ascii="仿宋" w:hAnsi="仿宋" w:eastAsia="仿宋" w:cs="仿宋"/>
          <w:color w:val="3E3E3E"/>
          <w:sz w:val="32"/>
          <w:szCs w:val="32"/>
        </w:rPr>
        <w:t>年</w:t>
      </w:r>
      <w:r>
        <w:rPr>
          <w:rFonts w:hint="eastAsia" w:ascii="仿宋" w:hAnsi="仿宋" w:eastAsia="仿宋" w:cs="仿宋"/>
          <w:color w:val="3E3E3E"/>
          <w:sz w:val="32"/>
          <w:szCs w:val="32"/>
        </w:rPr>
        <w:t>5</w:t>
      </w:r>
      <w:r>
        <w:rPr>
          <w:rFonts w:hint="eastAsia" w:ascii="仿宋" w:hAnsi="仿宋" w:eastAsia="仿宋" w:cs="仿宋"/>
          <w:color w:val="3E3E3E"/>
          <w:sz w:val="32"/>
          <w:szCs w:val="32"/>
        </w:rPr>
        <w:t>月</w:t>
      </w:r>
      <w:r>
        <w:rPr>
          <w:rFonts w:hint="eastAsia" w:ascii="仿宋" w:hAnsi="仿宋" w:eastAsia="仿宋" w:cs="仿宋"/>
          <w:color w:val="3E3E3E"/>
          <w:sz w:val="32"/>
          <w:szCs w:val="32"/>
        </w:rPr>
        <w:t>29</w:t>
      </w:r>
      <w:r>
        <w:rPr>
          <w:rFonts w:hint="eastAsia" w:ascii="仿宋" w:hAnsi="仿宋" w:eastAsia="仿宋" w:cs="仿宋"/>
          <w:color w:val="3E3E3E"/>
          <w:sz w:val="32"/>
          <w:szCs w:val="32"/>
        </w:rPr>
        <w:t>日</w:t>
      </w:r>
    </w:p>
    <w:p>
      <w:pPr>
        <w:pStyle w:val="2"/>
        <w:keepNext w:val="0"/>
        <w:keepLines w:val="0"/>
        <w:pageBreakBefore w:val="0"/>
        <w:shd w:val="clear" w:color="auto" w:fill="FFFFFF"/>
        <w:kinsoku/>
        <w:wordWrap/>
        <w:overflowPunct/>
        <w:topLinePunct w:val="0"/>
        <w:autoSpaceDE/>
        <w:autoSpaceDN/>
        <w:bidi w:val="0"/>
        <w:adjustRightInd/>
        <w:snapToGrid/>
        <w:spacing w:before="150" w:beforeAutospacing="0" w:after="0" w:afterAutospacing="0" w:line="500" w:lineRule="exact"/>
        <w:textAlignment w:val="baseline"/>
        <w:outlineLvl w:val="9"/>
        <w:rPr>
          <w:rFonts w:hint="eastAsia" w:ascii="仿宋" w:hAnsi="仿宋" w:eastAsia="仿宋" w:cs="仿宋"/>
          <w:color w:val="3E3E3E"/>
          <w:sz w:val="32"/>
          <w:szCs w:val="32"/>
        </w:rPr>
      </w:pPr>
      <w:r>
        <w:rPr>
          <w:rFonts w:hint="eastAsia" w:ascii="仿宋" w:hAnsi="仿宋" w:eastAsia="仿宋" w:cs="仿宋"/>
          <w:color w:val="3E3E3E"/>
          <w:sz w:val="32"/>
          <w:szCs w:val="32"/>
        </w:rPr>
        <w:t> </w:t>
      </w:r>
    </w:p>
    <w:p>
      <w:pPr>
        <w:keepNext w:val="0"/>
        <w:keepLines w:val="0"/>
        <w:pageBreakBefore w:val="0"/>
        <w:kinsoku/>
        <w:wordWrap/>
        <w:overflowPunct/>
        <w:topLinePunct w:val="0"/>
        <w:autoSpaceDE/>
        <w:autoSpaceDN/>
        <w:bidi w:val="0"/>
        <w:adjustRightInd/>
        <w:snapToGrid/>
        <w:spacing w:line="500" w:lineRule="exact"/>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36"/>
    <w:rsid w:val="00543E96"/>
    <w:rsid w:val="00961336"/>
    <w:rsid w:val="08773DB0"/>
    <w:rsid w:val="2552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1155</Characters>
  <Lines>9</Lines>
  <Paragraphs>2</Paragraphs>
  <TotalTime>3</TotalTime>
  <ScaleCrop>false</ScaleCrop>
  <LinksUpToDate>false</LinksUpToDate>
  <CharactersWithSpaces>1355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2018-07-09T02:25:00Z</dcterms:created>
  <dc:creator>郑慧香</dc:creator>
  <cp:lastModifiedBy>Administrator</cp:lastModifiedBy>
  <dcterms:modified xsi:type="dcterms:W3CDTF">2018-07-09T02:33:53Z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