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r>
        <w:t>浙江省财政厅 浙江省社会科学联合会关于印发浙江省哲学社会科学专项资金管理办法的通知</w:t>
      </w:r>
    </w:p>
    <w:p>
      <w:pPr>
        <w:keepNext w:val="0"/>
        <w:keepLines w:val="0"/>
        <w:widowControl/>
        <w:suppressLineNumbers w:val="0"/>
        <w:jc w:val="center"/>
      </w:pPr>
      <w:r>
        <w:rPr>
          <w:rFonts w:hint="eastAsia" w:ascii="宋体" w:hAnsi="宋体" w:eastAsia="宋体" w:cs="宋体"/>
          <w:kern w:val="0"/>
          <w:sz w:val="24"/>
          <w:szCs w:val="24"/>
          <w:lang w:val="en-US" w:eastAsia="zh-CN" w:bidi="ar"/>
        </w:rPr>
        <w:t>浙财科教〔2022〕45号</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"http://czt.zj.gov.cn/art/2022/12/5/art_1229135599_2450601.html" \o "分享到微信" \t "http://czt.zj.gov.cn/art/2022/12/5/_blank"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"http://czt.zj.gov.cn/art/2022/12/5/art_1229135599_2450601.html" \o "分享到新浪微博" \t "http://czt.zj.gov.cn/art/2022/12/5/_blank"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fldChar w:fldCharType="end"/>
      </w:r>
    </w:p>
    <w:p>
      <w:pPr>
        <w:keepNext w:val="0"/>
        <w:keepLines w:val="0"/>
        <w:widowControl/>
        <w:suppressLineNumbers w:val="0"/>
        <w:jc w:val="left"/>
      </w:pPr>
    </w:p>
    <w:p>
      <w:pPr>
        <w:pStyle w:val="4"/>
        <w:keepNext w:val="0"/>
        <w:keepLines w:val="0"/>
        <w:widowControl/>
        <w:suppressLineNumbers w:val="0"/>
        <w:jc w:val="left"/>
      </w:pPr>
      <w:r>
        <w:t>各市、县（市、区）财政局、社科</w:t>
      </w:r>
      <w:bookmarkStart w:id="0" w:name="_GoBack"/>
      <w:bookmarkEnd w:id="0"/>
      <w:r>
        <w:t>联（宁波不发），省属有关单位：</w:t>
      </w:r>
    </w:p>
    <w:p>
      <w:pPr>
        <w:pStyle w:val="4"/>
        <w:keepNext w:val="0"/>
        <w:keepLines w:val="0"/>
        <w:widowControl/>
        <w:suppressLineNumbers w:val="0"/>
        <w:ind w:left="0" w:firstLine="420"/>
      </w:pPr>
      <w:r>
        <w:t>为进一步规范和加强我省哲学社会科学专项资金的分配、使用管理，提高财政资金使用效益，高水平推进哲学社会科学强省建设，打造新时代文化高地，根据《财政部 全国哲学社会科学工作领导小组关于印发国家社会科学基金项目资金管理办法的通知》（财教〔2021〕237号）、《浙江省哲学社会科学工作促进条例》《浙江省人民政府办公厅关于改革完善省财政科研经费管理的实施意见》（浙政办发〔2022〕22号）等规定，结合我省实际，特制定本办法，现印发给你们，请遵照执行。</w:t>
      </w:r>
    </w:p>
    <w:p>
      <w:pPr>
        <w:pStyle w:val="4"/>
        <w:keepNext w:val="0"/>
        <w:keepLines w:val="0"/>
        <w:widowControl/>
        <w:suppressLineNumbers w:val="0"/>
      </w:pPr>
      <w:r>
        <w:t> </w:t>
      </w:r>
    </w:p>
    <w:p>
      <w:pPr>
        <w:pStyle w:val="4"/>
        <w:keepNext w:val="0"/>
        <w:keepLines w:val="0"/>
        <w:widowControl/>
        <w:suppressLineNumbers w:val="0"/>
      </w:pPr>
      <w:r>
        <w:t> </w:t>
      </w:r>
    </w:p>
    <w:p>
      <w:pPr>
        <w:pStyle w:val="4"/>
        <w:keepNext w:val="0"/>
        <w:keepLines w:val="0"/>
        <w:widowControl/>
        <w:suppressLineNumbers w:val="0"/>
      </w:pPr>
      <w:r>
        <w:t> </w:t>
      </w:r>
    </w:p>
    <w:p>
      <w:pPr>
        <w:pStyle w:val="4"/>
        <w:keepNext w:val="0"/>
        <w:keepLines w:val="0"/>
        <w:widowControl/>
        <w:suppressLineNumbers w:val="0"/>
        <w:jc w:val="right"/>
      </w:pPr>
      <w:r>
        <w:t>浙江省财政厅</w:t>
      </w:r>
    </w:p>
    <w:p>
      <w:pPr>
        <w:pStyle w:val="4"/>
        <w:keepNext w:val="0"/>
        <w:keepLines w:val="0"/>
        <w:widowControl/>
        <w:suppressLineNumbers w:val="0"/>
        <w:jc w:val="right"/>
      </w:pPr>
      <w:r>
        <w:t>浙江省社会科学界联合会</w:t>
      </w:r>
    </w:p>
    <w:p>
      <w:pPr>
        <w:pStyle w:val="4"/>
        <w:keepNext w:val="0"/>
        <w:keepLines w:val="0"/>
        <w:widowControl/>
        <w:suppressLineNumbers w:val="0"/>
        <w:jc w:val="right"/>
      </w:pPr>
      <w:r>
        <w:t>                                  2022年11月22日</w:t>
      </w:r>
    </w:p>
    <w:p>
      <w:pPr>
        <w:pStyle w:val="4"/>
        <w:keepNext w:val="0"/>
        <w:keepLines w:val="0"/>
        <w:widowControl/>
        <w:suppressLineNumbers w:val="0"/>
        <w:ind w:left="0" w:firstLine="420"/>
      </w:pPr>
      <w:r>
        <w:t>（此件公开发布）</w:t>
      </w:r>
    </w:p>
    <w:p>
      <w:pPr>
        <w:pStyle w:val="4"/>
        <w:keepNext w:val="0"/>
        <w:keepLines w:val="0"/>
        <w:widowControl/>
        <w:suppressLineNumbers w:val="0"/>
      </w:pPr>
      <w:r>
        <w:t> </w:t>
      </w:r>
    </w:p>
    <w:p>
      <w:pPr>
        <w:pStyle w:val="4"/>
        <w:keepNext w:val="0"/>
        <w:keepLines w:val="0"/>
        <w:widowControl/>
        <w:suppressLineNumbers w:val="0"/>
        <w:jc w:val="center"/>
      </w:pPr>
      <w:r>
        <w:t> 浙江省哲学社会科学专项资金管理办法</w:t>
      </w:r>
    </w:p>
    <w:p>
      <w:pPr>
        <w:pStyle w:val="4"/>
        <w:keepNext w:val="0"/>
        <w:keepLines w:val="0"/>
        <w:widowControl/>
        <w:suppressLineNumbers w:val="0"/>
      </w:pPr>
      <w:r>
        <w:t> </w:t>
      </w:r>
    </w:p>
    <w:p>
      <w:pPr>
        <w:pStyle w:val="4"/>
        <w:keepNext w:val="0"/>
        <w:keepLines w:val="0"/>
        <w:widowControl/>
        <w:suppressLineNumbers w:val="0"/>
        <w:ind w:left="0" w:firstLine="420"/>
      </w:pPr>
      <w:r>
        <w:t>为进一步规范和加强我省哲学社会科学专项资金的分配、使用管理，提高财政资金使用效益，高水平推进哲学社会科学强省建设，打造新时代文化高地，根据《财政部 全国哲学社会科学工作领导小组关于印发国家社会科学基金项目资金管理办法的通知》（财教〔2021〕237号）、《浙江省哲学社会科学工作促进条例》《浙江省人民政府办公厅关于改革完善省财政科研经费管理的实施意见》（浙政办发〔2022〕22号）等规定，结合我省实际，特制定本办法。</w:t>
      </w:r>
    </w:p>
    <w:p>
      <w:pPr>
        <w:pStyle w:val="4"/>
        <w:keepNext w:val="0"/>
        <w:keepLines w:val="0"/>
        <w:widowControl/>
        <w:suppressLineNumbers w:val="0"/>
        <w:ind w:left="0" w:firstLine="420"/>
      </w:pPr>
      <w:r>
        <w:t>一、总则</w:t>
      </w:r>
    </w:p>
    <w:p>
      <w:pPr>
        <w:pStyle w:val="4"/>
        <w:keepNext w:val="0"/>
        <w:keepLines w:val="0"/>
        <w:widowControl/>
        <w:suppressLineNumbers w:val="0"/>
        <w:ind w:left="0" w:firstLine="420"/>
      </w:pPr>
      <w:r>
        <w:t>（一）浙江省哲学社会科学专项资金（以下简称“专项资金”）是指由省级财政预算安排，用于支持我省哲学社会科学研究，促进哲学社会科学学科发展、科研平台建设、人才培养和队伍建设的专项资金。专项资金实行滚动预算，具体支持期限原则上以五年为一个周期，到期后或中期进行综合评价，视绩效评价和监督检查情况进行动态调整。</w:t>
      </w:r>
    </w:p>
    <w:p>
      <w:pPr>
        <w:pStyle w:val="4"/>
        <w:keepNext w:val="0"/>
        <w:keepLines w:val="0"/>
        <w:widowControl/>
        <w:suppressLineNumbers w:val="0"/>
        <w:ind w:left="0" w:firstLine="420"/>
      </w:pPr>
      <w:r>
        <w:t>（二）省财政厅负责专项资金的预算管理和资金下达，会同省社科联开展专项资金监督检查。省社科联负责专项项目管理，建立项目库，组织项目评审，提出专项资金分配建议方案，细化编制年度专项资金预算，并会同省财政厅开展专项资金全过程预算绩效管理。</w:t>
      </w:r>
    </w:p>
    <w:p>
      <w:pPr>
        <w:pStyle w:val="4"/>
        <w:keepNext w:val="0"/>
        <w:keepLines w:val="0"/>
        <w:widowControl/>
        <w:suppressLineNumbers w:val="0"/>
        <w:ind w:left="0" w:firstLine="420"/>
      </w:pPr>
      <w:r>
        <w:t>省财政厅、省社科联按照部门职责分工，制定专项资金管理办法、拟立项项目、资金分配等工作，推进专项资金全过程信息公开。</w:t>
      </w:r>
    </w:p>
    <w:p>
      <w:pPr>
        <w:pStyle w:val="4"/>
        <w:keepNext w:val="0"/>
        <w:keepLines w:val="0"/>
        <w:widowControl/>
        <w:suppressLineNumbers w:val="0"/>
        <w:ind w:left="0" w:firstLine="420"/>
      </w:pPr>
      <w:r>
        <w:t>各有关市、县（市、区）财政、社科部门负责对项目资金进行具体管理和监督检查，并落实全过程预算绩效管理工作，根据项目管理和实施情况做好绩效目标管理、绩效运行监控和绩效自评，并加强绩效成果运用。</w:t>
      </w:r>
    </w:p>
    <w:p>
      <w:pPr>
        <w:pStyle w:val="4"/>
        <w:keepNext w:val="0"/>
        <w:keepLines w:val="0"/>
        <w:widowControl/>
        <w:suppressLineNumbers w:val="0"/>
        <w:ind w:left="0" w:firstLine="420"/>
      </w:pPr>
      <w:r>
        <w:t>项目责任单位是项目资金管理的责任主体，应当完善内部控制、绩效管理和监督约束机制，合理确定科研、财务、人事、资产、审计、监察等部门的责任和权限，加强对项目资金的管理和监督。</w:t>
      </w:r>
    </w:p>
    <w:p>
      <w:pPr>
        <w:pStyle w:val="4"/>
        <w:keepNext w:val="0"/>
        <w:keepLines w:val="0"/>
        <w:widowControl/>
        <w:suppressLineNumbers w:val="0"/>
        <w:ind w:left="0" w:firstLine="420"/>
      </w:pPr>
      <w:r>
        <w:t>（三）专项资金按照“以人为本、遵循规律、强化绩效、依法规范、公正合理、安全高效”的原则管理和使用。</w:t>
      </w:r>
    </w:p>
    <w:p>
      <w:pPr>
        <w:pStyle w:val="4"/>
        <w:keepNext w:val="0"/>
        <w:keepLines w:val="0"/>
        <w:widowControl/>
        <w:suppressLineNumbers w:val="0"/>
        <w:ind w:left="0" w:firstLine="420"/>
      </w:pPr>
      <w:r>
        <w:t>二、支持对象、范围和分配方式</w:t>
      </w:r>
    </w:p>
    <w:p>
      <w:pPr>
        <w:pStyle w:val="4"/>
        <w:keepNext w:val="0"/>
        <w:keepLines w:val="0"/>
        <w:widowControl/>
        <w:suppressLineNumbers w:val="0"/>
        <w:ind w:left="0" w:firstLine="420"/>
      </w:pPr>
      <w:r>
        <w:t>（一）支持对象。省内各级各类高等院校、教学科研单位，党校、社科院和党政机关研究机构，社科联和哲学社会科学工作者，省级社科类学会，民办社科研究机构，社科普及基地。必要时，省社科联商省财政厅，可面向全国教学科研单位和专家学者进行招标或委托。</w:t>
      </w:r>
    </w:p>
    <w:p>
      <w:pPr>
        <w:pStyle w:val="4"/>
        <w:keepNext w:val="0"/>
        <w:keepLines w:val="0"/>
        <w:widowControl/>
        <w:suppressLineNumbers w:val="0"/>
        <w:ind w:left="0" w:firstLine="420"/>
      </w:pPr>
      <w:r>
        <w:t>（二）支持范围。结合国家和我省哲学社会科学五年规划以及省委、省政府重大决策部署确定。</w:t>
      </w:r>
    </w:p>
    <w:p>
      <w:pPr>
        <w:pStyle w:val="4"/>
        <w:keepNext w:val="0"/>
        <w:keepLines w:val="0"/>
        <w:widowControl/>
        <w:suppressLineNumbers w:val="0"/>
        <w:ind w:left="0" w:firstLine="420"/>
      </w:pPr>
      <w:r>
        <w:t>1.哲学社会科学研究。支持全省哲学社会科学工作者深入研究阐释马克思主义理论特别是习近平新时代中国特色社会主义思想，加强哲学社会科学理论研究；支持开展各类哲学社会科学学术交流和社科普及活动，大力传播党的创新理论、中华优秀传统文化，提升公众哲学社会科学素养；扶持各类哲学社会科学人才成长。</w:t>
      </w:r>
    </w:p>
    <w:p>
      <w:pPr>
        <w:pStyle w:val="4"/>
        <w:keepNext w:val="0"/>
        <w:keepLines w:val="0"/>
        <w:widowControl/>
        <w:suppressLineNumbers w:val="0"/>
        <w:ind w:left="0" w:firstLine="420"/>
      </w:pPr>
      <w:r>
        <w:t>2.社科平台建设。以服务党和政府科学民主依法决策为使命，以国家特别是浙江经济社会发展战略问题和公共政策为主要研究对象，开展各类决策咨询研究，支持省新型智库建设；以哲学社会科学各学科、各领域前沿问题为主要研究对象，开展特色型的基础理论研究，支持省哲学社会科学重点研究基地建设；以经济社会和哲学社会科学发展的前瞻性、综合性、复杂性问题为研究对象，运用大数据、云计算、人工智能等新兴技术手段，采用实验研究方法开展哲学社会科学研究，探索哲学社会科学实验室建设。</w:t>
      </w:r>
    </w:p>
    <w:p>
      <w:pPr>
        <w:pStyle w:val="4"/>
        <w:keepNext w:val="0"/>
        <w:keepLines w:val="0"/>
        <w:widowControl/>
        <w:suppressLineNumbers w:val="0"/>
        <w:ind w:left="0" w:firstLine="420"/>
      </w:pPr>
      <w:r>
        <w:t>3.浙江文化研究工程建设。支持围绕“今、古、人、文”开展浙江历史文化和当代发展研究，扩大浙学影响力，加强以红色根脉为核心的革命文化、浙江精神为主题的社会主义先进文化、宋韵文化为标识的优秀传统文化等研究，打造原创性、标志性文化研究成果。支持课题研究成果出版和宣传，支持浙江文化研究人才队伍建设。</w:t>
      </w:r>
    </w:p>
    <w:p>
      <w:pPr>
        <w:pStyle w:val="4"/>
        <w:keepNext w:val="0"/>
        <w:keepLines w:val="0"/>
        <w:widowControl/>
        <w:suppressLineNumbers w:val="0"/>
        <w:ind w:left="0" w:firstLine="420"/>
      </w:pPr>
      <w:r>
        <w:t>（三）分配方式。专项资金分配方式以公开竞争（择优遴选）为主，择优委托分配、政府购买服务为辅。</w:t>
      </w:r>
    </w:p>
    <w:p>
      <w:pPr>
        <w:pStyle w:val="4"/>
        <w:keepNext w:val="0"/>
        <w:keepLines w:val="0"/>
        <w:widowControl/>
        <w:suppressLineNumbers w:val="0"/>
        <w:ind w:left="0" w:firstLine="420"/>
      </w:pPr>
      <w:r>
        <w:t>三、专项资金分配、资助标准及下达</w:t>
      </w:r>
    </w:p>
    <w:p>
      <w:pPr>
        <w:pStyle w:val="4"/>
        <w:keepNext w:val="0"/>
        <w:keepLines w:val="0"/>
        <w:widowControl/>
        <w:suppressLineNumbers w:val="0"/>
        <w:ind w:left="0" w:firstLine="420"/>
      </w:pPr>
      <w:r>
        <w:t>（一）专项资金分配方式和资助标准详见附件，后续动态调整由省社科联商省财政厅确定。</w:t>
      </w:r>
    </w:p>
    <w:p>
      <w:pPr>
        <w:pStyle w:val="4"/>
        <w:keepNext w:val="0"/>
        <w:keepLines w:val="0"/>
        <w:widowControl/>
        <w:suppressLineNumbers w:val="0"/>
        <w:ind w:left="0" w:firstLine="420"/>
      </w:pPr>
      <w:r>
        <w:t>（二）省社科联会同省级有关部门按照专项资金设立目标，建立跨年度项目库、细化项目预算；并按照《中华人民共和国预算法》及部门预算管理要求，及时将专项资金预算需求、绩效目标及细化项目报省财政厅审核。</w:t>
      </w:r>
    </w:p>
    <w:p>
      <w:pPr>
        <w:pStyle w:val="4"/>
        <w:keepNext w:val="0"/>
        <w:keepLines w:val="0"/>
        <w:widowControl/>
        <w:suppressLineNumbers w:val="0"/>
        <w:ind w:left="0" w:firstLine="420"/>
      </w:pPr>
      <w:r>
        <w:t>其中：项目责任单位为省属预算单位和省部属非预算单位的，专项项目资金预算编入省社科联部门年度预算后转拨；市县责任单位专项项目资金纳入省社科联部门专项转移支付清单管理。</w:t>
      </w:r>
    </w:p>
    <w:p>
      <w:pPr>
        <w:pStyle w:val="4"/>
        <w:keepNext w:val="0"/>
        <w:keepLines w:val="0"/>
        <w:widowControl/>
        <w:suppressLineNumbers w:val="0"/>
        <w:ind w:left="0" w:firstLine="420"/>
      </w:pPr>
      <w:r>
        <w:t>（三）省财政厅按照《中华人民共和国预算法》及部门预算管理、集中财力办大事财政政策体系、专项资金设立目标等要求，对申报不规范、绩效目标不明确、立项理由不充分的专项项目资金，退回单位重新编报，对重新编报后仍不符合上述要求的单位，核减其专项项目资金预算，以切实提高专项项目资金预算编制质量、财政资金使用绩效。</w:t>
      </w:r>
    </w:p>
    <w:p>
      <w:pPr>
        <w:pStyle w:val="4"/>
        <w:keepNext w:val="0"/>
        <w:keepLines w:val="0"/>
        <w:widowControl/>
        <w:suppressLineNumbers w:val="0"/>
        <w:ind w:left="0" w:firstLine="420"/>
      </w:pPr>
      <w:r>
        <w:t>（四）经浙江省人民代表大会批准后，省财政厅按《中华人民共和国预算法》相关规定批复部门预算、下达专项转移支付预算。</w:t>
      </w:r>
    </w:p>
    <w:p>
      <w:pPr>
        <w:pStyle w:val="4"/>
        <w:keepNext w:val="0"/>
        <w:keepLines w:val="0"/>
        <w:widowControl/>
        <w:suppressLineNumbers w:val="0"/>
        <w:ind w:left="0" w:firstLine="420"/>
      </w:pPr>
      <w:r>
        <w:t>市县财政部门在收到专项性转移支付资金预算后，三十日内会同同级社科联，将专项项目资金及时拨付到项目责任单位。　　　</w:t>
      </w:r>
    </w:p>
    <w:p>
      <w:pPr>
        <w:pStyle w:val="4"/>
        <w:keepNext w:val="0"/>
        <w:keepLines w:val="0"/>
        <w:widowControl/>
        <w:suppressLineNumbers w:val="0"/>
        <w:ind w:left="0" w:firstLine="420"/>
      </w:pPr>
      <w:r>
        <w:t>四、专项项目资金使用和管理</w:t>
      </w:r>
    </w:p>
    <w:p>
      <w:pPr>
        <w:pStyle w:val="4"/>
        <w:keepNext w:val="0"/>
        <w:keepLines w:val="0"/>
        <w:widowControl/>
        <w:suppressLineNumbers w:val="0"/>
        <w:ind w:left="0" w:firstLine="420"/>
      </w:pPr>
      <w:r>
        <w:t>（一）省社科联各类课题资金使用。课题经费开支范围一般包括直接费用和间接费用两部分。</w:t>
      </w:r>
    </w:p>
    <w:p>
      <w:pPr>
        <w:pStyle w:val="4"/>
        <w:keepNext w:val="0"/>
        <w:keepLines w:val="0"/>
        <w:widowControl/>
        <w:suppressLineNumbers w:val="0"/>
        <w:ind w:left="0" w:firstLine="420"/>
      </w:pPr>
      <w:r>
        <w:t>1.直接费用是指在项目实施过程中发生的与之直接相关的费用。主要包括：</w:t>
      </w:r>
    </w:p>
    <w:p>
      <w:pPr>
        <w:pStyle w:val="4"/>
        <w:keepNext w:val="0"/>
        <w:keepLines w:val="0"/>
        <w:widowControl/>
        <w:suppressLineNumbers w:val="0"/>
        <w:ind w:left="0" w:firstLine="420"/>
      </w:pPr>
      <w:r>
        <w:t>（1）业务费：指在项目实施过程中购置图书、收集资料、复印翻拍、检索文献、采集数据、翻译资料、印刷出版、会议/差旅/国际合作与交流等费用，以及其他相关支出。</w:t>
      </w:r>
    </w:p>
    <w:p>
      <w:pPr>
        <w:pStyle w:val="4"/>
        <w:keepNext w:val="0"/>
        <w:keepLines w:val="0"/>
        <w:widowControl/>
        <w:suppressLineNumbers w:val="0"/>
        <w:ind w:left="0" w:firstLine="420"/>
      </w:pPr>
      <w:r>
        <w:t>（2）劳务费：指在项目实施过程中支付给参与项目研究的研究生、博士后、访问学者和项目聘用的研究人员、科研辅助人员等的劳务性费用，以及支付给临时聘请的咨询专家的费用等。</w:t>
      </w:r>
    </w:p>
    <w:p>
      <w:pPr>
        <w:pStyle w:val="4"/>
        <w:keepNext w:val="0"/>
        <w:keepLines w:val="0"/>
        <w:widowControl/>
        <w:suppressLineNumbers w:val="0"/>
        <w:ind w:left="0" w:firstLine="420"/>
      </w:pPr>
      <w:r>
        <w:t>项目聘用人员的劳务费开支标准，参照当地社科研究从业人员平均工资水平，根据其在项目研究中承担的工作任务确定，其由单位缴纳的社会保险补助、住房公积金等纳入劳务费科目列支。</w:t>
      </w:r>
    </w:p>
    <w:p>
      <w:pPr>
        <w:pStyle w:val="4"/>
        <w:keepNext w:val="0"/>
        <w:keepLines w:val="0"/>
        <w:widowControl/>
        <w:suppressLineNumbers w:val="0"/>
        <w:ind w:left="0" w:firstLine="420"/>
      </w:pPr>
      <w:r>
        <w:t>（3）设备费：指在项目实施过程中购置设备和设备耗材、升级维护现有设备以及租用外单位设备而发生的费用。应当严格控制设备购置，鼓励共享、租赁设备以及对现有设备进行升级。</w:t>
      </w:r>
    </w:p>
    <w:p>
      <w:pPr>
        <w:pStyle w:val="4"/>
        <w:keepNext w:val="0"/>
        <w:keepLines w:val="0"/>
        <w:widowControl/>
        <w:suppressLineNumbers w:val="0"/>
        <w:ind w:left="0" w:firstLine="420"/>
      </w:pPr>
      <w:r>
        <w:t>2.间接费用是指承担单位在组织实施项目过程中发生的无法在直接费用中列支的相关费用。主要包括：承担单位为项目研究提供的房屋占用，日常水、电、气、暖消耗，有关管理费用的补助支出，及公开竞争研发类项目激励科研人员的绩效支出等。间接费用基础比例一般按照不超过项目资助总额的40%核定。</w:t>
      </w:r>
    </w:p>
    <w:p>
      <w:pPr>
        <w:pStyle w:val="4"/>
        <w:keepNext w:val="0"/>
        <w:keepLines w:val="0"/>
        <w:widowControl/>
        <w:suppressLineNumbers w:val="0"/>
        <w:ind w:left="0" w:firstLine="420"/>
      </w:pPr>
      <w:r>
        <w:t>项目成果通过审核验收后，依据结项等级调整间接费用比例，具体如下：</w:t>
      </w:r>
    </w:p>
    <w:p>
      <w:pPr>
        <w:pStyle w:val="4"/>
        <w:keepNext w:val="0"/>
        <w:keepLines w:val="0"/>
        <w:widowControl/>
        <w:suppressLineNumbers w:val="0"/>
        <w:ind w:left="0" w:firstLine="420"/>
      </w:pPr>
      <w:r>
        <w:t>（1）结项等级为“优秀”的，可提高到不超过60%；</w:t>
      </w:r>
    </w:p>
    <w:p>
      <w:pPr>
        <w:pStyle w:val="4"/>
        <w:keepNext w:val="0"/>
        <w:keepLines w:val="0"/>
        <w:widowControl/>
        <w:suppressLineNumbers w:val="0"/>
        <w:ind w:left="0" w:firstLine="420"/>
      </w:pPr>
      <w:r>
        <w:t>（2）结项等级为“良好”的，可提高到不超过50%；</w:t>
      </w:r>
    </w:p>
    <w:p>
      <w:pPr>
        <w:pStyle w:val="4"/>
        <w:keepNext w:val="0"/>
        <w:keepLines w:val="0"/>
        <w:widowControl/>
        <w:suppressLineNumbers w:val="0"/>
        <w:ind w:left="0" w:firstLine="420"/>
      </w:pPr>
      <w:r>
        <w:t>（3）结项等级为“合格”的，间接费用比例不再提高。</w:t>
      </w:r>
    </w:p>
    <w:p>
      <w:pPr>
        <w:pStyle w:val="4"/>
        <w:keepNext w:val="0"/>
        <w:keepLines w:val="0"/>
        <w:widowControl/>
        <w:suppressLineNumbers w:val="0"/>
        <w:ind w:left="0" w:firstLine="420"/>
      </w:pPr>
      <w:r>
        <w:t>项目在研期间，可按照核定的基础比例支出间接费用。项目成果通过审核验收后，依据结项等级确定间接费用比例。</w:t>
      </w:r>
    </w:p>
    <w:p>
      <w:pPr>
        <w:pStyle w:val="4"/>
        <w:keepNext w:val="0"/>
        <w:keepLines w:val="0"/>
        <w:widowControl/>
        <w:suppressLineNumbers w:val="0"/>
        <w:ind w:left="0" w:firstLine="420"/>
      </w:pPr>
      <w:r>
        <w:t>间接费用由项目责任单位统筹安排使用。项目责任单位应当建立健全间接费用的内部管理办法，公开透明、合理合规使用间接费用，处理好分摊间接成本和对科研人员激励的关系。绩效支出安排应当与科研人员在项目工作中的实际贡献挂钩。项目责任单位可将间接费用全部用于绩效支出，并向创新绩效突出的团队和个人倾斜。项目有多个单位的，间接费用在总额范围内由项目承担单位与参与单位协商分配。项目责任单位不得在间接费用以外，再以任何名义在项目资金中重复提取、列支相关费用。</w:t>
      </w:r>
    </w:p>
    <w:p>
      <w:pPr>
        <w:pStyle w:val="4"/>
        <w:keepNext w:val="0"/>
        <w:keepLines w:val="0"/>
        <w:widowControl/>
        <w:suppressLineNumbers w:val="0"/>
        <w:ind w:left="0" w:firstLine="420"/>
      </w:pPr>
      <w:r>
        <w:t>省财政科研经费管理政策口径、新旧政策衔接按照国家和我省有关规定执行。</w:t>
      </w:r>
    </w:p>
    <w:p>
      <w:pPr>
        <w:pStyle w:val="4"/>
        <w:keepNext w:val="0"/>
        <w:keepLines w:val="0"/>
        <w:widowControl/>
        <w:suppressLineNumbers w:val="0"/>
        <w:ind w:left="0" w:firstLine="420"/>
      </w:pPr>
      <w:r>
        <w:t>（二）科研规模较小、财政补助经费不超过2万元（含）的后补助项目可全部作为间接费用使用。</w:t>
      </w:r>
    </w:p>
    <w:p>
      <w:pPr>
        <w:pStyle w:val="4"/>
        <w:keepNext w:val="0"/>
        <w:keepLines w:val="0"/>
        <w:widowControl/>
        <w:suppressLineNumbers w:val="0"/>
        <w:ind w:left="0" w:firstLine="420"/>
      </w:pPr>
      <w:r>
        <w:t>财政补助经费5万元（含）以下的科研项目，除不超过2万元（含）的后补助项目以外，推行科研经费“负面清单+包干制”，项目申报时不编制资金预算，项目资金不设直接费用和间接费用比例，具体由依托单位和项目负责人协商确定。“负面清单+包干制”管理具体规定由省社科联会同省财政厅制定。</w:t>
      </w:r>
    </w:p>
    <w:p>
      <w:pPr>
        <w:pStyle w:val="4"/>
        <w:keepNext w:val="0"/>
        <w:keepLines w:val="0"/>
        <w:widowControl/>
        <w:suppressLineNumbers w:val="0"/>
        <w:ind w:left="0" w:firstLine="420"/>
      </w:pPr>
      <w:r>
        <w:t>（三）科研平台资金使用。</w:t>
      </w:r>
    </w:p>
    <w:p>
      <w:pPr>
        <w:pStyle w:val="4"/>
        <w:keepNext w:val="0"/>
        <w:keepLines w:val="0"/>
        <w:widowControl/>
        <w:suppressLineNumbers w:val="0"/>
        <w:ind w:left="0" w:firstLine="420"/>
      </w:pPr>
      <w:r>
        <w:t>1.省新型智库。</w:t>
      </w:r>
    </w:p>
    <w:p>
      <w:pPr>
        <w:pStyle w:val="4"/>
        <w:keepNext w:val="0"/>
        <w:keepLines w:val="0"/>
        <w:widowControl/>
        <w:suppressLineNumbers w:val="0"/>
        <w:ind w:left="0" w:firstLine="420"/>
      </w:pPr>
      <w:r>
        <w:t>主要用于补助智库开展决策咨询研究，以及相关人员聘用、国际国内合作与交流、激励等发生的支出。具体开支范围如下：</w:t>
      </w:r>
    </w:p>
    <w:p>
      <w:pPr>
        <w:pStyle w:val="4"/>
        <w:keepNext w:val="0"/>
        <w:keepLines w:val="0"/>
        <w:widowControl/>
        <w:suppressLineNumbers w:val="0"/>
        <w:ind w:left="0" w:firstLine="420"/>
      </w:pPr>
      <w:r>
        <w:t>（1）项目研究经费：指开展决策咨询项目研究所发生的费用。开支范围可参照直接费用，但不得开支间接费用。</w:t>
      </w:r>
    </w:p>
    <w:p>
      <w:pPr>
        <w:pStyle w:val="4"/>
        <w:keepNext w:val="0"/>
        <w:keepLines w:val="0"/>
        <w:widowControl/>
        <w:suppressLineNumbers w:val="0"/>
        <w:ind w:left="0" w:firstLine="420"/>
      </w:pPr>
      <w:r>
        <w:t>（2）人员聘用经费：指支付给智库聘用编制以外、不开支财政补助人员经费的专职研究人员、管理人员和国外访问学者的费用。智库及其依托单位应当按照国家和省里有关政策规定聘用相关人员并按照程序合理确定所聘用人员的薪酬标准。</w:t>
      </w:r>
    </w:p>
    <w:p>
      <w:pPr>
        <w:pStyle w:val="4"/>
        <w:keepNext w:val="0"/>
        <w:keepLines w:val="0"/>
        <w:widowControl/>
        <w:suppressLineNumbers w:val="0"/>
        <w:ind w:left="0" w:firstLine="420"/>
      </w:pPr>
      <w:r>
        <w:t>从党政部门、高等院校、科研院所等行政事业单位聘用的、开支人员聘用经费的专职研究人员和管理人员，其人事、工资等关系须与原单位脱钩。</w:t>
      </w:r>
    </w:p>
    <w:p>
      <w:pPr>
        <w:pStyle w:val="4"/>
        <w:keepNext w:val="0"/>
        <w:keepLines w:val="0"/>
        <w:widowControl/>
        <w:suppressLineNumbers w:val="0"/>
        <w:ind w:left="0" w:firstLine="420"/>
      </w:pPr>
      <w:r>
        <w:t>（3）国际国内合作与交流经费：是指为完成研究工作任务，在国内外组织学术研讨会议、参与相关访问交流活动、境外（含港澳台）专家来内地开展学术合作交流所产生的费用。开支涉外交流经费应当执行国家和省内外事经费管理的有关规定。</w:t>
      </w:r>
    </w:p>
    <w:p>
      <w:pPr>
        <w:pStyle w:val="4"/>
        <w:keepNext w:val="0"/>
        <w:keepLines w:val="0"/>
        <w:widowControl/>
        <w:suppressLineNumbers w:val="0"/>
        <w:ind w:left="0" w:firstLine="420"/>
      </w:pPr>
      <w:r>
        <w:t>（4）激励经费：是指智库根据研究人员实际贡献安排的激励性费用，开支激励经费必须符合以下条件之一：</w:t>
      </w:r>
    </w:p>
    <w:p>
      <w:pPr>
        <w:pStyle w:val="4"/>
        <w:keepNext w:val="0"/>
        <w:keepLines w:val="0"/>
        <w:widowControl/>
        <w:suppressLineNumbers w:val="0"/>
        <w:ind w:left="0" w:firstLine="420"/>
      </w:pPr>
      <w:r>
        <w:t>①研究成果被中央决策采用；</w:t>
      </w:r>
    </w:p>
    <w:p>
      <w:pPr>
        <w:pStyle w:val="4"/>
        <w:keepNext w:val="0"/>
        <w:keepLines w:val="0"/>
        <w:widowControl/>
        <w:suppressLineNumbers w:val="0"/>
        <w:ind w:left="0" w:firstLine="420"/>
      </w:pPr>
      <w:r>
        <w:t>②研究成果得到中央领导批示；</w:t>
      </w:r>
    </w:p>
    <w:p>
      <w:pPr>
        <w:pStyle w:val="4"/>
        <w:keepNext w:val="0"/>
        <w:keepLines w:val="0"/>
        <w:widowControl/>
        <w:suppressLineNumbers w:val="0"/>
        <w:ind w:left="0" w:firstLine="420"/>
      </w:pPr>
      <w:r>
        <w:t>③研究成果被省委省政府决策采用；</w:t>
      </w:r>
    </w:p>
    <w:p>
      <w:pPr>
        <w:pStyle w:val="4"/>
        <w:keepNext w:val="0"/>
        <w:keepLines w:val="0"/>
        <w:widowControl/>
        <w:suppressLineNumbers w:val="0"/>
        <w:ind w:left="0" w:firstLine="420"/>
      </w:pPr>
      <w:r>
        <w:t>④研究成果得到省委省政府领导批示；</w:t>
      </w:r>
    </w:p>
    <w:p>
      <w:pPr>
        <w:pStyle w:val="4"/>
        <w:keepNext w:val="0"/>
        <w:keepLines w:val="0"/>
        <w:widowControl/>
        <w:suppressLineNumbers w:val="0"/>
        <w:ind w:left="0" w:firstLine="420"/>
      </w:pPr>
      <w:r>
        <w:t>⑤在国际主流媒体或刊物上发表研究成果、阐释中国立场、发出中国声音，产生良好国际影响的；在中央及省级主流媒体上发表研究成果、阐释党的理论、解读公共政策、引导社会舆论，产生较大社会影响的；</w:t>
      </w:r>
    </w:p>
    <w:p>
      <w:pPr>
        <w:pStyle w:val="4"/>
        <w:keepNext w:val="0"/>
        <w:keepLines w:val="0"/>
        <w:widowControl/>
        <w:suppressLineNumbers w:val="0"/>
        <w:ind w:left="0" w:firstLine="420"/>
      </w:pPr>
      <w:r>
        <w:t>⑥智库成果产生较大影响的或经“浙江省新型智库工作联席会议”认定的在其他方面作出突出贡献的。</w:t>
      </w:r>
    </w:p>
    <w:p>
      <w:pPr>
        <w:pStyle w:val="4"/>
        <w:keepNext w:val="0"/>
        <w:keepLines w:val="0"/>
        <w:widowControl/>
        <w:suppressLineNumbers w:val="0"/>
        <w:ind w:left="0" w:firstLine="420"/>
      </w:pPr>
      <w:r>
        <w:t>激励费用不得超过各智库年度资助总额的40%。安排激励费用要合理合规、公开公平、拉开档次，符合国家和我省收入分配制度要求，不得在激励费用以外再以任何名义在专项经费中重复提取、列支相关费用。</w:t>
      </w:r>
    </w:p>
    <w:p>
      <w:pPr>
        <w:pStyle w:val="4"/>
        <w:keepNext w:val="0"/>
        <w:keepLines w:val="0"/>
        <w:widowControl/>
        <w:suppressLineNumbers w:val="0"/>
        <w:ind w:left="0" w:firstLine="420"/>
      </w:pPr>
      <w:r>
        <w:t>2.其他科研平台。</w:t>
      </w:r>
    </w:p>
    <w:p>
      <w:pPr>
        <w:pStyle w:val="4"/>
        <w:keepNext w:val="0"/>
        <w:keepLines w:val="0"/>
        <w:widowControl/>
        <w:suppressLineNumbers w:val="0"/>
        <w:ind w:left="0" w:firstLine="420"/>
      </w:pPr>
      <w:r>
        <w:t>经费使用参照省新型智库平台方式，开支范围包括项目研究经费、人员聘用经费、国际国内合作与交流经费。其中，项目研究经费按照省社科规划课题管理。</w:t>
      </w:r>
    </w:p>
    <w:p>
      <w:pPr>
        <w:pStyle w:val="4"/>
        <w:keepNext w:val="0"/>
        <w:keepLines w:val="0"/>
        <w:widowControl/>
        <w:suppressLineNumbers w:val="0"/>
        <w:ind w:left="0" w:firstLine="420"/>
      </w:pPr>
      <w:r>
        <w:t>（四）浙江文化研究工程资金使用。</w:t>
      </w:r>
    </w:p>
    <w:p>
      <w:pPr>
        <w:pStyle w:val="4"/>
        <w:keepNext w:val="0"/>
        <w:keepLines w:val="0"/>
        <w:widowControl/>
        <w:suppressLineNumbers w:val="0"/>
        <w:ind w:left="0" w:firstLine="420"/>
      </w:pPr>
      <w:r>
        <w:t>浙江文化研究工程项目研究资金使用按照省社科规划课题管理。其中：系列项目按不超过研究经费总额20%作为保留经费，由项目总负责人统一调配。子项目负责人不属于项目承担单位的，项目承担单位应做好研究经费转拨工作。项目出版资金按照政府采购有关规定执行。</w:t>
      </w:r>
    </w:p>
    <w:p>
      <w:pPr>
        <w:pStyle w:val="4"/>
        <w:keepNext w:val="0"/>
        <w:keepLines w:val="0"/>
        <w:widowControl/>
        <w:suppressLineNumbers w:val="0"/>
        <w:ind w:left="0" w:firstLine="420"/>
      </w:pPr>
      <w:r>
        <w:t>（五）省哲学社会科学优秀成果奖励资金，直接用于获奖个人（团队）奖励。</w:t>
      </w:r>
    </w:p>
    <w:p>
      <w:pPr>
        <w:pStyle w:val="4"/>
        <w:keepNext w:val="0"/>
        <w:keepLines w:val="0"/>
        <w:widowControl/>
        <w:suppressLineNumbers w:val="0"/>
        <w:ind w:left="0" w:firstLine="420"/>
      </w:pPr>
      <w:r>
        <w:t>（六）省级社会科学学术著作出版资金，全部用于成果出版。</w:t>
      </w:r>
    </w:p>
    <w:p>
      <w:pPr>
        <w:pStyle w:val="4"/>
        <w:keepNext w:val="0"/>
        <w:keepLines w:val="0"/>
        <w:widowControl/>
        <w:suppressLineNumbers w:val="0"/>
        <w:ind w:left="0" w:firstLine="420"/>
      </w:pPr>
      <w:r>
        <w:t>（七）哲学社会科学人才培养资金中的之江青年小组和浙江发展研究中心活动经费，其开支范围只能开支直接费用，不得开支间接费用。项目研究经费按照省社科规划课题管理。</w:t>
      </w:r>
    </w:p>
    <w:p>
      <w:pPr>
        <w:pStyle w:val="4"/>
        <w:keepNext w:val="0"/>
        <w:keepLines w:val="0"/>
        <w:widowControl/>
        <w:suppressLineNumbers w:val="0"/>
        <w:ind w:left="0" w:firstLine="420"/>
      </w:pPr>
      <w:r>
        <w:t>（八）相关主管部门按照“谁主管、谁负责”的原则，承担专项项目资金日常监督管理职责。项目责任单位要按照权责一致的要求，强化自我约束和自我规范：</w:t>
      </w:r>
    </w:p>
    <w:p>
      <w:pPr>
        <w:pStyle w:val="4"/>
        <w:keepNext w:val="0"/>
        <w:keepLines w:val="0"/>
        <w:widowControl/>
        <w:suppressLineNumbers w:val="0"/>
        <w:ind w:left="0" w:firstLine="420"/>
      </w:pPr>
      <w:r>
        <w:t>1.及时修订科研经费使用（重点是间接费用、外拨资金、结余资金）、财务报销、政府采购、项目绩效等系列内部管理制度；</w:t>
      </w:r>
    </w:p>
    <w:p>
      <w:pPr>
        <w:pStyle w:val="4"/>
        <w:keepNext w:val="0"/>
        <w:keepLines w:val="0"/>
        <w:widowControl/>
        <w:suppressLineNumbers w:val="0"/>
        <w:ind w:left="0" w:firstLine="420"/>
      </w:pPr>
      <w:r>
        <w:t>2.加强预算审核把关，规范财务支出行为，落实财务审查、项目进度主体责任，完善内部风险防控机制，强化资金使用绩效管理，引导科研资源向优秀人才和团队倾斜，提高科研经费使用效益；</w:t>
      </w:r>
    </w:p>
    <w:p>
      <w:pPr>
        <w:pStyle w:val="4"/>
        <w:keepNext w:val="0"/>
        <w:keepLines w:val="0"/>
        <w:widowControl/>
        <w:suppressLineNumbers w:val="0"/>
        <w:ind w:left="0" w:firstLine="420"/>
      </w:pPr>
      <w:r>
        <w:t>3.保障资金使用安全规范有效，健全信息公开制度，在单位内部公开项目立项、主要研究人员、资金使用以及研究成果等情况，接受内部监督。</w:t>
      </w:r>
    </w:p>
    <w:p>
      <w:pPr>
        <w:pStyle w:val="4"/>
        <w:keepNext w:val="0"/>
        <w:keepLines w:val="0"/>
        <w:widowControl/>
        <w:suppressLineNumbers w:val="0"/>
        <w:ind w:left="0" w:firstLine="420"/>
      </w:pPr>
      <w:r>
        <w:t>（九）课题研究项目完成任务目标并通过验收后，课题研究经费结余资金留归项目承担单位使用。项目承担单位要加强结余资金管理，加快资金使用进度，结余资金统筹安排用于科研活动直接支出，优先考虑原项目团队科研需求。</w:t>
      </w:r>
    </w:p>
    <w:p>
      <w:pPr>
        <w:pStyle w:val="4"/>
        <w:keepNext w:val="0"/>
        <w:keepLines w:val="0"/>
        <w:widowControl/>
        <w:suppressLineNumbers w:val="0"/>
        <w:ind w:left="0" w:firstLine="420"/>
      </w:pPr>
      <w:r>
        <w:t>五、绩效管理和监督检查</w:t>
      </w:r>
    </w:p>
    <w:p>
      <w:pPr>
        <w:pStyle w:val="4"/>
        <w:keepNext w:val="0"/>
        <w:keepLines w:val="0"/>
        <w:widowControl/>
        <w:suppressLineNumbers w:val="0"/>
        <w:ind w:left="0" w:firstLine="420"/>
      </w:pPr>
      <w:r>
        <w:t>（一）项目责任单位和项目负责人应当依法依规管理使用项目资金，不得存在以下行为：</w:t>
      </w:r>
    </w:p>
    <w:p>
      <w:pPr>
        <w:pStyle w:val="4"/>
        <w:keepNext w:val="0"/>
        <w:keepLines w:val="0"/>
        <w:widowControl/>
        <w:suppressLineNumbers w:val="0"/>
        <w:ind w:left="0" w:firstLine="420"/>
      </w:pPr>
      <w:r>
        <w:t>1.虚假编报项目预算；</w:t>
      </w:r>
    </w:p>
    <w:p>
      <w:pPr>
        <w:pStyle w:val="4"/>
        <w:keepNext w:val="0"/>
        <w:keepLines w:val="0"/>
        <w:widowControl/>
        <w:suppressLineNumbers w:val="0"/>
        <w:ind w:left="0" w:firstLine="420"/>
      </w:pPr>
      <w:r>
        <w:t>2.未对项目资金进行单独核算；</w:t>
      </w:r>
    </w:p>
    <w:p>
      <w:pPr>
        <w:pStyle w:val="4"/>
        <w:keepNext w:val="0"/>
        <w:keepLines w:val="0"/>
        <w:widowControl/>
        <w:suppressLineNumbers w:val="0"/>
        <w:ind w:left="0" w:firstLine="420"/>
      </w:pPr>
      <w:r>
        <w:t>3.列支与项目任务无关的支出；</w:t>
      </w:r>
    </w:p>
    <w:p>
      <w:pPr>
        <w:pStyle w:val="4"/>
        <w:keepNext w:val="0"/>
        <w:keepLines w:val="0"/>
        <w:widowControl/>
        <w:suppressLineNumbers w:val="0"/>
        <w:ind w:left="0" w:firstLine="420"/>
      </w:pPr>
      <w:r>
        <w:t>4.未按规定执行和调剂预算、违反规定转拨项目资金；</w:t>
      </w:r>
    </w:p>
    <w:p>
      <w:pPr>
        <w:pStyle w:val="4"/>
        <w:keepNext w:val="0"/>
        <w:keepLines w:val="0"/>
        <w:widowControl/>
        <w:suppressLineNumbers w:val="0"/>
        <w:ind w:left="0" w:firstLine="420"/>
      </w:pPr>
      <w:r>
        <w:t>5.通过虚假合同、虚假票据、虚构事项、虚报人员等弄虚作假，转移、套取、报销项目资金；</w:t>
      </w:r>
    </w:p>
    <w:p>
      <w:pPr>
        <w:pStyle w:val="4"/>
        <w:keepNext w:val="0"/>
        <w:keepLines w:val="0"/>
        <w:widowControl/>
        <w:suppressLineNumbers w:val="0"/>
        <w:ind w:left="0" w:firstLine="420"/>
      </w:pPr>
      <w:r>
        <w:t>6.截留、挤占、挪用项目资金；</w:t>
      </w:r>
    </w:p>
    <w:p>
      <w:pPr>
        <w:pStyle w:val="4"/>
        <w:keepNext w:val="0"/>
        <w:keepLines w:val="0"/>
        <w:widowControl/>
        <w:suppressLineNumbers w:val="0"/>
        <w:ind w:left="0" w:firstLine="420"/>
      </w:pPr>
      <w:r>
        <w:t>7.设置账外账、随意调账变动支出、随意修改记账凭证、提供虚假财务会计资料等；</w:t>
      </w:r>
    </w:p>
    <w:p>
      <w:pPr>
        <w:pStyle w:val="4"/>
        <w:keepNext w:val="0"/>
        <w:keepLines w:val="0"/>
        <w:widowControl/>
        <w:suppressLineNumbers w:val="0"/>
        <w:ind w:left="0" w:firstLine="420"/>
      </w:pPr>
      <w:r>
        <w:t>8.在使用项目资金中以任何方式列支应由个人负担的有关费用和支付各种罚款、捐款、赞助、投资、偿还债务等；</w:t>
      </w:r>
    </w:p>
    <w:p>
      <w:pPr>
        <w:pStyle w:val="4"/>
        <w:keepNext w:val="0"/>
        <w:keepLines w:val="0"/>
        <w:widowControl/>
        <w:suppressLineNumbers w:val="0"/>
        <w:ind w:left="0" w:firstLine="420"/>
      </w:pPr>
      <w:r>
        <w:t>9.其他违反国家财经纪律的行为。</w:t>
      </w:r>
    </w:p>
    <w:p>
      <w:pPr>
        <w:pStyle w:val="4"/>
        <w:keepNext w:val="0"/>
        <w:keepLines w:val="0"/>
        <w:widowControl/>
        <w:suppressLineNumbers w:val="0"/>
        <w:ind w:left="0" w:firstLine="420"/>
      </w:pPr>
      <w:r>
        <w:t>项目负责人使用项目资金情况应当自觉接受有关部门的监督检查。</w:t>
      </w:r>
    </w:p>
    <w:p>
      <w:pPr>
        <w:pStyle w:val="4"/>
        <w:keepNext w:val="0"/>
        <w:keepLines w:val="0"/>
        <w:widowControl/>
        <w:suppressLineNumbers w:val="0"/>
        <w:ind w:left="0" w:firstLine="420"/>
      </w:pPr>
      <w:r>
        <w:t>（二）按照财政资金预算绩效统一管理制度，省社科联完善绩效目标管理，开展绩效运行监控，并组织实施专项资金年度自评。专项资金在实施中期或周期终了时，由省社科联组织实施中期绩效评价，会同省财政厅联合组织实施到期评价，评价结果作为完善专项资金政策及预算资金分配的重要依据。</w:t>
      </w:r>
    </w:p>
    <w:p>
      <w:pPr>
        <w:pStyle w:val="4"/>
        <w:keepNext w:val="0"/>
        <w:keepLines w:val="0"/>
        <w:widowControl/>
        <w:suppressLineNumbers w:val="0"/>
        <w:ind w:left="0" w:firstLine="420"/>
      </w:pPr>
      <w:r>
        <w:t>专项项目绩效评价结果应作为承担单位项目后续支持的重要依据，以及相关科研、管理人员和项目承担单位业绩考核的参考依据。绩效评价优秀的，在后续项目支持中给予倾斜；项目绩效突出的，给予滚动支持。</w:t>
      </w:r>
    </w:p>
    <w:p>
      <w:pPr>
        <w:pStyle w:val="4"/>
        <w:keepNext w:val="0"/>
        <w:keepLines w:val="0"/>
        <w:widowControl/>
        <w:suppressLineNumbers w:val="0"/>
        <w:ind w:left="0" w:firstLine="420"/>
      </w:pPr>
      <w:r>
        <w:t>（三）项目承担单位要强化法人责任，对经费使用加强动态监管并实时预警提醒，确保经费合理规范使用。项目承担单位应依法主动接受财政、审计、纪检监察、社科联等部门的审计与监督。</w:t>
      </w:r>
    </w:p>
    <w:p>
      <w:pPr>
        <w:pStyle w:val="4"/>
        <w:keepNext w:val="0"/>
        <w:keepLines w:val="0"/>
        <w:widowControl/>
        <w:suppressLineNumbers w:val="0"/>
        <w:ind w:left="0" w:firstLine="420"/>
      </w:pPr>
      <w:r>
        <w:t>（四）资金使用单位和个人在专项项目资金使用过程中存在各类违法违规行为的，各级社科、财政部门及其工作人员在专项项目资金分配、使用、管理等相关工作中存在违法违纪行为的，按照国家和省有关规定追究相应责任或依法移送有关机关处理。</w:t>
      </w:r>
    </w:p>
    <w:p>
      <w:pPr>
        <w:pStyle w:val="4"/>
        <w:keepNext w:val="0"/>
        <w:keepLines w:val="0"/>
        <w:widowControl/>
        <w:suppressLineNumbers w:val="0"/>
        <w:ind w:left="0" w:firstLine="420"/>
      </w:pPr>
      <w:r>
        <w:t>六、附则</w:t>
      </w:r>
    </w:p>
    <w:p>
      <w:pPr>
        <w:pStyle w:val="4"/>
        <w:keepNext w:val="0"/>
        <w:keepLines w:val="0"/>
        <w:widowControl/>
        <w:suppressLineNumbers w:val="0"/>
        <w:ind w:left="0" w:firstLine="420"/>
      </w:pPr>
      <w:r>
        <w:t>本办法自2023年1月1日起施行。此前发布的相关管理办法中与本办法不一致的，以本办法为准。《浙江文化研究工程（第二期）专项资金管理办法》（浙财科教〔2018〕37号）、《浙江省哲学社会科学专项资金管理办法》（浙财科教〔2019〕9号）同时废止。</w:t>
      </w:r>
    </w:p>
    <w:p>
      <w:pPr>
        <w:pStyle w:val="4"/>
        <w:keepNext w:val="0"/>
        <w:keepLines w:val="0"/>
        <w:widowControl/>
        <w:suppressLineNumbers w:val="0"/>
      </w:pPr>
      <w:r>
        <w:t> </w:t>
      </w:r>
    </w:p>
    <w:p>
      <w:pPr>
        <w:pStyle w:val="4"/>
        <w:keepNext w:val="0"/>
        <w:keepLines w:val="0"/>
        <w:widowControl/>
        <w:suppressLineNumbers w:val="0"/>
        <w:ind w:left="0" w:firstLine="420"/>
      </w:pPr>
      <w:r>
        <w:t>附件：浙江省哲学社会科学专项资金资助标准</w:t>
      </w:r>
      <w:r>
        <w:br w:type="textWrapping"/>
      </w:r>
      <w:r>
        <w:t>附件</w:t>
      </w:r>
    </w:p>
    <w:p>
      <w:pPr>
        <w:pStyle w:val="4"/>
        <w:keepNext w:val="0"/>
        <w:keepLines w:val="0"/>
        <w:widowControl/>
        <w:suppressLineNumbers w:val="0"/>
      </w:pPr>
      <w:r>
        <w:t> </w:t>
      </w:r>
    </w:p>
    <w:p>
      <w:pPr>
        <w:pStyle w:val="4"/>
        <w:keepNext w:val="0"/>
        <w:keepLines w:val="0"/>
        <w:widowControl/>
        <w:suppressLineNumbers w:val="0"/>
        <w:jc w:val="center"/>
      </w:pPr>
      <w:r>
        <w:t>浙江省哲学社会科学专项资金资助标准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line="195" w:lineRule="atLeast"/>
        <w:ind w:left="0" w:firstLine="870"/>
        <w:jc w:val="center"/>
        <w:rPr>
          <w:rFonts w:hint="default" w:ascii="Times New Roman" w:hAnsi="Times New Roman" w:cs="Times New Roman"/>
        </w:rPr>
      </w:pPr>
      <w:r>
        <w:rPr>
          <w:rFonts w:ascii="方正小标宋简体" w:hAnsi="方正小标宋简体" w:eastAsia="方正小标宋简体" w:cs="方正小标宋简体"/>
          <w:sz w:val="43"/>
          <w:szCs w:val="43"/>
          <w:bdr w:val="none" w:color="auto" w:sz="0" w:space="0"/>
        </w:rPr>
        <w:t> </w:t>
      </w:r>
    </w:p>
    <w:tbl>
      <w:tblPr>
        <w:tblW w:w="0" w:type="auto"/>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232"/>
        <w:gridCol w:w="2549"/>
        <w:gridCol w:w="1422"/>
        <w:gridCol w:w="328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95" w:hRule="atLeast"/>
          <w:tblCellSpacing w:w="0" w:type="dxa"/>
          <w:jc w:val="center"/>
        </w:trPr>
        <w:tc>
          <w:tcPr>
            <w:tcW w:w="1380" w:type="dxa"/>
            <w:tcBorders>
              <w:top w:val="single" w:color="auto" w:sz="6" w:space="0"/>
              <w:left w:val="single" w:color="auto" w:sz="6" w:space="0"/>
              <w:bottom w:val="single" w:color="auto" w:sz="6" w:space="0"/>
              <w:right w:val="single" w:color="auto" w:sz="6" w:space="0"/>
            </w:tcBorders>
            <w:shd w:val="clear"/>
            <w:tcMar>
              <w:top w:w="0" w:type="dxa"/>
              <w:left w:w="75" w:type="dxa"/>
              <w:bottom w:w="0" w:type="dxa"/>
              <w:right w:w="75" w:type="dxa"/>
            </w:tcMar>
            <w:vAlign w:val="top"/>
          </w:tcPr>
          <w:p>
            <w:pPr>
              <w:pStyle w:val="4"/>
              <w:keepNext w:val="0"/>
              <w:keepLines w:val="0"/>
              <w:widowControl/>
              <w:suppressLineNumbers w:val="0"/>
              <w:jc w:val="center"/>
              <w:rPr>
                <w:sz w:val="24"/>
                <w:szCs w:val="24"/>
              </w:rPr>
            </w:pPr>
            <w:r>
              <w:rPr>
                <w:rFonts w:ascii="黑体" w:hAnsi="宋体" w:eastAsia="黑体" w:cs="黑体"/>
                <w:sz w:val="30"/>
                <w:szCs w:val="30"/>
                <w:bdr w:val="none" w:color="auto" w:sz="0" w:space="0"/>
              </w:rPr>
              <w:t>支持范围</w:t>
            </w:r>
          </w:p>
        </w:tc>
        <w:tc>
          <w:tcPr>
            <w:tcW w:w="2925" w:type="dxa"/>
            <w:tcBorders>
              <w:top w:val="single" w:color="auto" w:sz="6" w:space="0"/>
              <w:left w:val="nil"/>
              <w:bottom w:val="single" w:color="auto" w:sz="6" w:space="0"/>
              <w:right w:val="single" w:color="auto" w:sz="6" w:space="0"/>
            </w:tcBorders>
            <w:shd w:val="clear"/>
            <w:tcMar>
              <w:top w:w="0" w:type="dxa"/>
              <w:left w:w="75" w:type="dxa"/>
              <w:bottom w:w="0" w:type="dxa"/>
              <w:right w:w="75" w:type="dxa"/>
            </w:tcMar>
            <w:vAlign w:val="top"/>
          </w:tcPr>
          <w:p>
            <w:pPr>
              <w:pStyle w:val="4"/>
              <w:keepNext w:val="0"/>
              <w:keepLines w:val="0"/>
              <w:widowControl/>
              <w:suppressLineNumbers w:val="0"/>
              <w:jc w:val="center"/>
              <w:rPr>
                <w:sz w:val="24"/>
                <w:szCs w:val="24"/>
              </w:rPr>
            </w:pPr>
            <w:r>
              <w:rPr>
                <w:rFonts w:hint="eastAsia" w:ascii="黑体" w:hAnsi="宋体" w:eastAsia="黑体" w:cs="黑体"/>
                <w:sz w:val="30"/>
                <w:szCs w:val="30"/>
                <w:bdr w:val="none" w:color="auto" w:sz="0" w:space="0"/>
              </w:rPr>
              <w:t>具体内容</w:t>
            </w:r>
          </w:p>
        </w:tc>
        <w:tc>
          <w:tcPr>
            <w:tcW w:w="1575" w:type="dxa"/>
            <w:tcBorders>
              <w:top w:val="single" w:color="auto" w:sz="6" w:space="0"/>
              <w:left w:val="nil"/>
              <w:bottom w:val="single" w:color="auto" w:sz="6" w:space="0"/>
              <w:right w:val="single" w:color="auto" w:sz="6" w:space="0"/>
            </w:tcBorders>
            <w:shd w:val="clear"/>
            <w:tcMar>
              <w:top w:w="0" w:type="dxa"/>
              <w:left w:w="75" w:type="dxa"/>
              <w:bottom w:w="0" w:type="dxa"/>
              <w:right w:w="75" w:type="dxa"/>
            </w:tcMar>
            <w:vAlign w:val="top"/>
          </w:tcPr>
          <w:p>
            <w:pPr>
              <w:pStyle w:val="4"/>
              <w:keepNext w:val="0"/>
              <w:keepLines w:val="0"/>
              <w:widowControl/>
              <w:suppressLineNumbers w:val="0"/>
              <w:jc w:val="center"/>
              <w:rPr>
                <w:sz w:val="24"/>
                <w:szCs w:val="24"/>
              </w:rPr>
            </w:pPr>
            <w:r>
              <w:rPr>
                <w:rFonts w:hint="eastAsia" w:ascii="黑体" w:hAnsi="宋体" w:eastAsia="黑体" w:cs="黑体"/>
                <w:sz w:val="30"/>
                <w:szCs w:val="30"/>
                <w:bdr w:val="none" w:color="auto" w:sz="0" w:space="0"/>
              </w:rPr>
              <w:t>分配方式</w:t>
            </w:r>
          </w:p>
        </w:tc>
        <w:tc>
          <w:tcPr>
            <w:tcW w:w="3780" w:type="dxa"/>
            <w:tcBorders>
              <w:top w:val="single" w:color="auto" w:sz="6" w:space="0"/>
              <w:left w:val="nil"/>
              <w:bottom w:val="single" w:color="auto" w:sz="6" w:space="0"/>
              <w:right w:val="single" w:color="auto" w:sz="6" w:space="0"/>
            </w:tcBorders>
            <w:shd w:val="clear"/>
            <w:tcMar>
              <w:top w:w="0" w:type="dxa"/>
              <w:left w:w="75" w:type="dxa"/>
              <w:bottom w:w="0" w:type="dxa"/>
              <w:right w:w="75" w:type="dxa"/>
            </w:tcMar>
            <w:vAlign w:val="top"/>
          </w:tcPr>
          <w:p>
            <w:pPr>
              <w:pStyle w:val="4"/>
              <w:keepNext w:val="0"/>
              <w:keepLines w:val="0"/>
              <w:widowControl/>
              <w:suppressLineNumbers w:val="0"/>
              <w:jc w:val="center"/>
              <w:rPr>
                <w:sz w:val="24"/>
                <w:szCs w:val="24"/>
              </w:rPr>
            </w:pPr>
            <w:r>
              <w:rPr>
                <w:rFonts w:hint="eastAsia" w:ascii="黑体" w:hAnsi="宋体" w:eastAsia="黑体" w:cs="黑体"/>
                <w:sz w:val="30"/>
                <w:szCs w:val="30"/>
                <w:bdr w:val="none" w:color="auto" w:sz="0" w:space="0"/>
              </w:rPr>
              <w:t>资助标准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05" w:hRule="atLeast"/>
          <w:tblCellSpacing w:w="0" w:type="dxa"/>
          <w:jc w:val="center"/>
        </w:trPr>
        <w:tc>
          <w:tcPr>
            <w:tcW w:w="1380" w:type="dxa"/>
            <w:tcBorders>
              <w:top w:val="nil"/>
              <w:left w:val="single" w:color="auto" w:sz="6" w:space="0"/>
              <w:bottom w:val="single" w:color="auto" w:sz="6" w:space="0"/>
              <w:right w:val="single" w:color="auto" w:sz="6" w:space="0"/>
            </w:tcBorders>
            <w:shd w:val="clear"/>
            <w:tcMar>
              <w:top w:w="0" w:type="dxa"/>
              <w:left w:w="75" w:type="dxa"/>
              <w:bottom w:w="0" w:type="dxa"/>
              <w:right w:w="75" w:type="dxa"/>
            </w:tcMar>
            <w:vAlign w:val="center"/>
          </w:tcPr>
          <w:p>
            <w:pPr>
              <w:pStyle w:val="4"/>
              <w:keepNext w:val="0"/>
              <w:keepLines w:val="0"/>
              <w:widowControl/>
              <w:suppressLineNumbers w:val="0"/>
              <w:spacing w:line="360" w:lineRule="atLeast"/>
              <w:jc w:val="center"/>
              <w:rPr>
                <w:sz w:val="24"/>
                <w:szCs w:val="24"/>
              </w:rPr>
            </w:pPr>
            <w:r>
              <w:rPr>
                <w:rFonts w:ascii="仿宋_GB2312" w:hAnsi="Times New Roman" w:eastAsia="仿宋_GB2312" w:cs="仿宋_GB2312"/>
                <w:sz w:val="24"/>
                <w:szCs w:val="24"/>
                <w:bdr w:val="none" w:color="auto" w:sz="0" w:space="0"/>
              </w:rPr>
              <w:t>课题研究</w:t>
            </w:r>
          </w:p>
        </w:tc>
        <w:tc>
          <w:tcPr>
            <w:tcW w:w="2925" w:type="dxa"/>
            <w:tcBorders>
              <w:top w:val="nil"/>
              <w:left w:val="nil"/>
              <w:bottom w:val="single" w:color="auto" w:sz="6" w:space="0"/>
              <w:right w:val="single" w:color="auto" w:sz="6" w:space="0"/>
            </w:tcBorders>
            <w:shd w:val="clear"/>
            <w:tcMar>
              <w:top w:w="0" w:type="dxa"/>
              <w:left w:w="75" w:type="dxa"/>
              <w:bottom w:w="0" w:type="dxa"/>
              <w:right w:w="75" w:type="dxa"/>
            </w:tcMar>
            <w:vAlign w:val="center"/>
          </w:tcPr>
          <w:p>
            <w:pPr>
              <w:pStyle w:val="4"/>
              <w:keepNext w:val="0"/>
              <w:keepLines w:val="0"/>
              <w:widowControl/>
              <w:suppressLineNumbers w:val="0"/>
              <w:spacing w:line="360" w:lineRule="atLeast"/>
              <w:jc w:val="both"/>
              <w:rPr>
                <w:sz w:val="24"/>
                <w:szCs w:val="24"/>
              </w:rPr>
            </w:pPr>
            <w:r>
              <w:rPr>
                <w:rFonts w:hint="eastAsia" w:ascii="仿宋_GB2312" w:hAnsi="Times New Roman" w:eastAsia="仿宋_GB2312" w:cs="仿宋_GB2312"/>
                <w:sz w:val="24"/>
                <w:szCs w:val="24"/>
                <w:bdr w:val="none" w:color="auto" w:sz="0" w:space="0"/>
              </w:rPr>
              <w:t>哲学社会科学规划课题、省社科联研究课题、省社科联科普课题</w:t>
            </w:r>
          </w:p>
        </w:tc>
        <w:tc>
          <w:tcPr>
            <w:tcW w:w="1575" w:type="dxa"/>
            <w:tcBorders>
              <w:top w:val="nil"/>
              <w:left w:val="nil"/>
              <w:bottom w:val="single" w:color="auto" w:sz="6" w:space="0"/>
              <w:right w:val="single" w:color="auto" w:sz="6" w:space="0"/>
            </w:tcBorders>
            <w:shd w:val="clear"/>
            <w:tcMar>
              <w:top w:w="0" w:type="dxa"/>
              <w:left w:w="75" w:type="dxa"/>
              <w:bottom w:w="0" w:type="dxa"/>
              <w:right w:w="75" w:type="dxa"/>
            </w:tcMar>
            <w:vAlign w:val="center"/>
          </w:tcPr>
          <w:p>
            <w:pPr>
              <w:pStyle w:val="4"/>
              <w:keepNext w:val="0"/>
              <w:keepLines w:val="0"/>
              <w:widowControl/>
              <w:suppressLineNumbers w:val="0"/>
              <w:spacing w:line="360" w:lineRule="atLeast"/>
              <w:jc w:val="both"/>
              <w:rPr>
                <w:sz w:val="24"/>
                <w:szCs w:val="24"/>
              </w:rPr>
            </w:pPr>
            <w:r>
              <w:rPr>
                <w:rFonts w:hint="eastAsia" w:ascii="仿宋_GB2312" w:hAnsi="Times New Roman" w:eastAsia="仿宋_GB2312" w:cs="仿宋_GB2312"/>
                <w:sz w:val="24"/>
                <w:szCs w:val="24"/>
                <w:bdr w:val="none" w:color="auto" w:sz="0" w:space="0"/>
              </w:rPr>
              <w:t>公开竞争为主，择优委托为辅</w:t>
            </w:r>
          </w:p>
        </w:tc>
        <w:tc>
          <w:tcPr>
            <w:tcW w:w="3780" w:type="dxa"/>
            <w:tcBorders>
              <w:top w:val="nil"/>
              <w:left w:val="nil"/>
              <w:bottom w:val="single" w:color="auto" w:sz="6" w:space="0"/>
              <w:right w:val="single" w:color="auto" w:sz="6" w:space="0"/>
            </w:tcBorders>
            <w:shd w:val="clear"/>
            <w:tcMar>
              <w:top w:w="0" w:type="dxa"/>
              <w:left w:w="75" w:type="dxa"/>
              <w:bottom w:w="0" w:type="dxa"/>
              <w:right w:w="75" w:type="dxa"/>
            </w:tcMar>
            <w:vAlign w:val="center"/>
          </w:tcPr>
          <w:p>
            <w:pPr>
              <w:pStyle w:val="4"/>
              <w:keepNext w:val="0"/>
              <w:keepLines w:val="0"/>
              <w:widowControl/>
              <w:suppressLineNumbers w:val="0"/>
              <w:spacing w:line="360" w:lineRule="atLeast"/>
              <w:jc w:val="both"/>
              <w:rPr>
                <w:sz w:val="24"/>
                <w:szCs w:val="24"/>
              </w:rPr>
            </w:pPr>
            <w:r>
              <w:rPr>
                <w:rFonts w:hint="eastAsia" w:ascii="仿宋_GB2312" w:hAnsi="Times New Roman" w:eastAsia="仿宋_GB2312" w:cs="仿宋_GB2312"/>
                <w:sz w:val="24"/>
                <w:szCs w:val="24"/>
                <w:bdr w:val="none" w:color="auto" w:sz="0" w:space="0"/>
              </w:rPr>
              <w:t>重大课题10-20万元，重点课题6-8万元，一般课题1-5万元，后补助项目1-6万元。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935" w:hRule="atLeast"/>
          <w:tblCellSpacing w:w="0" w:type="dxa"/>
          <w:jc w:val="center"/>
        </w:trPr>
        <w:tc>
          <w:tcPr>
            <w:tcW w:w="1380" w:type="dxa"/>
            <w:vMerge w:val="restart"/>
            <w:tcBorders>
              <w:top w:val="nil"/>
              <w:left w:val="single" w:color="auto" w:sz="6" w:space="0"/>
              <w:bottom w:val="single" w:color="auto" w:sz="6" w:space="0"/>
              <w:right w:val="single" w:color="auto" w:sz="6" w:space="0"/>
            </w:tcBorders>
            <w:shd w:val="clear"/>
            <w:tcMar>
              <w:top w:w="0" w:type="dxa"/>
              <w:left w:w="75" w:type="dxa"/>
              <w:bottom w:w="0" w:type="dxa"/>
              <w:right w:w="75" w:type="dxa"/>
            </w:tcMar>
            <w:vAlign w:val="center"/>
          </w:tcPr>
          <w:p>
            <w:pPr>
              <w:pStyle w:val="4"/>
              <w:keepNext w:val="0"/>
              <w:keepLines w:val="0"/>
              <w:widowControl/>
              <w:suppressLineNumbers w:val="0"/>
              <w:spacing w:line="360" w:lineRule="atLeast"/>
              <w:jc w:val="center"/>
              <w:rPr>
                <w:sz w:val="24"/>
                <w:szCs w:val="24"/>
              </w:rPr>
            </w:pPr>
            <w:r>
              <w:rPr>
                <w:rFonts w:hint="eastAsia" w:ascii="仿宋_GB2312" w:hAnsi="Times New Roman" w:eastAsia="仿宋_GB2312" w:cs="仿宋_GB2312"/>
                <w:sz w:val="24"/>
                <w:szCs w:val="24"/>
                <w:bdr w:val="none" w:color="auto" w:sz="0" w:space="0"/>
              </w:rPr>
              <w:t>科研平台</w:t>
            </w:r>
          </w:p>
        </w:tc>
        <w:tc>
          <w:tcPr>
            <w:tcW w:w="2925" w:type="dxa"/>
            <w:tcBorders>
              <w:top w:val="nil"/>
              <w:left w:val="nil"/>
              <w:bottom w:val="single" w:color="auto" w:sz="6" w:space="0"/>
              <w:right w:val="single" w:color="auto" w:sz="6" w:space="0"/>
            </w:tcBorders>
            <w:shd w:val="clear"/>
            <w:tcMar>
              <w:top w:w="0" w:type="dxa"/>
              <w:left w:w="75" w:type="dxa"/>
              <w:bottom w:w="0" w:type="dxa"/>
              <w:right w:w="75" w:type="dxa"/>
            </w:tcMar>
            <w:vAlign w:val="center"/>
          </w:tcPr>
          <w:p>
            <w:pPr>
              <w:pStyle w:val="4"/>
              <w:keepNext w:val="0"/>
              <w:keepLines w:val="0"/>
              <w:widowControl/>
              <w:suppressLineNumbers w:val="0"/>
              <w:spacing w:line="360" w:lineRule="atLeast"/>
              <w:jc w:val="both"/>
              <w:rPr>
                <w:sz w:val="24"/>
                <w:szCs w:val="24"/>
              </w:rPr>
            </w:pPr>
            <w:r>
              <w:rPr>
                <w:rFonts w:hint="eastAsia" w:ascii="仿宋_GB2312" w:hAnsi="Times New Roman" w:eastAsia="仿宋_GB2312" w:cs="仿宋_GB2312"/>
                <w:sz w:val="24"/>
                <w:szCs w:val="24"/>
                <w:bdr w:val="none" w:color="auto" w:sz="0" w:space="0"/>
              </w:rPr>
              <w:t>新型智库</w:t>
            </w:r>
          </w:p>
        </w:tc>
        <w:tc>
          <w:tcPr>
            <w:tcW w:w="1575" w:type="dxa"/>
            <w:tcBorders>
              <w:top w:val="nil"/>
              <w:left w:val="nil"/>
              <w:bottom w:val="single" w:color="auto" w:sz="6" w:space="0"/>
              <w:right w:val="single" w:color="auto" w:sz="6" w:space="0"/>
            </w:tcBorders>
            <w:shd w:val="clear"/>
            <w:tcMar>
              <w:top w:w="0" w:type="dxa"/>
              <w:left w:w="75" w:type="dxa"/>
              <w:bottom w:w="0" w:type="dxa"/>
              <w:right w:w="75" w:type="dxa"/>
            </w:tcMar>
            <w:vAlign w:val="center"/>
          </w:tcPr>
          <w:p>
            <w:pPr>
              <w:pStyle w:val="4"/>
              <w:keepNext w:val="0"/>
              <w:keepLines w:val="0"/>
              <w:widowControl/>
              <w:suppressLineNumbers w:val="0"/>
              <w:spacing w:line="360" w:lineRule="atLeast"/>
              <w:jc w:val="both"/>
              <w:rPr>
                <w:sz w:val="24"/>
                <w:szCs w:val="24"/>
              </w:rPr>
            </w:pPr>
            <w:r>
              <w:rPr>
                <w:rFonts w:hint="eastAsia" w:ascii="仿宋_GB2312" w:hAnsi="Times New Roman" w:eastAsia="仿宋_GB2312" w:cs="仿宋_GB2312"/>
                <w:sz w:val="24"/>
                <w:szCs w:val="24"/>
                <w:bdr w:val="none" w:color="auto" w:sz="0" w:space="0"/>
              </w:rPr>
              <w:t>公开竞争为主，政府购买服务、择优委托为辅</w:t>
            </w:r>
          </w:p>
        </w:tc>
        <w:tc>
          <w:tcPr>
            <w:tcW w:w="3780" w:type="dxa"/>
            <w:tcBorders>
              <w:top w:val="nil"/>
              <w:left w:val="nil"/>
              <w:bottom w:val="single" w:color="auto" w:sz="6" w:space="0"/>
              <w:right w:val="single" w:color="auto" w:sz="6" w:space="0"/>
            </w:tcBorders>
            <w:shd w:val="clear"/>
            <w:tcMar>
              <w:top w:w="0" w:type="dxa"/>
              <w:left w:w="75" w:type="dxa"/>
              <w:bottom w:w="0" w:type="dxa"/>
              <w:right w:w="75" w:type="dxa"/>
            </w:tcMar>
            <w:vAlign w:val="center"/>
          </w:tcPr>
          <w:p>
            <w:pPr>
              <w:pStyle w:val="4"/>
              <w:keepNext w:val="0"/>
              <w:keepLines w:val="0"/>
              <w:widowControl/>
              <w:suppressLineNumbers w:val="0"/>
              <w:spacing w:line="360" w:lineRule="atLeast"/>
              <w:jc w:val="both"/>
              <w:rPr>
                <w:sz w:val="24"/>
                <w:szCs w:val="24"/>
              </w:rPr>
            </w:pPr>
            <w:r>
              <w:rPr>
                <w:rFonts w:hint="eastAsia" w:ascii="仿宋_GB2312" w:hAnsi="Times New Roman" w:eastAsia="仿宋_GB2312" w:cs="仿宋_GB2312"/>
                <w:sz w:val="24"/>
                <w:szCs w:val="24"/>
                <w:bdr w:val="none" w:color="auto" w:sz="0" w:space="0"/>
              </w:rPr>
              <w:t>结合我省哲学社会科学五年规划确定的建设数量，建设期内（下同）浙江省新型重点专业智库每年不超过150万元，浙江省重点培育智库每年不超过60万元。根据中期和期末绩效评估结果作动态调整。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35" w:hRule="atLeast"/>
          <w:tblCellSpacing w:w="0" w:type="dxa"/>
          <w:jc w:val="center"/>
        </w:trPr>
        <w:tc>
          <w:tcPr>
            <w:tcW w:w="1380" w:type="dxa"/>
            <w:vMerge w:val="continue"/>
            <w:tcBorders>
              <w:top w:val="nil"/>
              <w:left w:val="single" w:color="auto" w:sz="6" w:space="0"/>
              <w:bottom w:val="single" w:color="auto" w:sz="6" w:space="0"/>
              <w:right w:val="single" w:color="auto" w:sz="6" w:space="0"/>
            </w:tcBorders>
            <w:shd w:val="clear"/>
            <w:tcMar>
              <w:top w:w="0" w:type="dxa"/>
              <w:left w:w="75" w:type="dxa"/>
              <w:bottom w:w="0" w:type="dxa"/>
              <w:right w:w="75" w:type="dxa"/>
            </w:tcMar>
            <w:vAlign w:val="center"/>
          </w:tcPr>
          <w:p>
            <w:pPr>
              <w:rPr>
                <w:rFonts w:hint="default" w:ascii="Times New Roman" w:hAnsi="Times New Roman" w:cs="Times New Roman"/>
                <w:sz w:val="19"/>
                <w:szCs w:val="19"/>
              </w:rPr>
            </w:pPr>
          </w:p>
        </w:tc>
        <w:tc>
          <w:tcPr>
            <w:tcW w:w="2925" w:type="dxa"/>
            <w:tcBorders>
              <w:top w:val="nil"/>
              <w:left w:val="nil"/>
              <w:bottom w:val="single" w:color="auto" w:sz="6" w:space="0"/>
              <w:right w:val="single" w:color="auto" w:sz="6" w:space="0"/>
            </w:tcBorders>
            <w:shd w:val="clear"/>
            <w:tcMar>
              <w:top w:w="0" w:type="dxa"/>
              <w:left w:w="75" w:type="dxa"/>
              <w:bottom w:w="0" w:type="dxa"/>
              <w:right w:w="75" w:type="dxa"/>
            </w:tcMar>
            <w:vAlign w:val="center"/>
          </w:tcPr>
          <w:p>
            <w:pPr>
              <w:pStyle w:val="4"/>
              <w:keepNext w:val="0"/>
              <w:keepLines w:val="0"/>
              <w:widowControl/>
              <w:suppressLineNumbers w:val="0"/>
              <w:spacing w:line="360" w:lineRule="atLeast"/>
              <w:jc w:val="both"/>
              <w:rPr>
                <w:sz w:val="24"/>
                <w:szCs w:val="24"/>
              </w:rPr>
            </w:pPr>
            <w:r>
              <w:rPr>
                <w:rFonts w:hint="eastAsia" w:ascii="仿宋_GB2312" w:hAnsi="Times New Roman" w:eastAsia="仿宋_GB2312" w:cs="仿宋_GB2312"/>
                <w:sz w:val="24"/>
                <w:szCs w:val="24"/>
                <w:bdr w:val="none" w:color="auto" w:sz="0" w:space="0"/>
              </w:rPr>
              <w:t>省哲学社会科学重点研究基地</w:t>
            </w:r>
          </w:p>
        </w:tc>
        <w:tc>
          <w:tcPr>
            <w:tcW w:w="1575" w:type="dxa"/>
            <w:tcBorders>
              <w:top w:val="nil"/>
              <w:left w:val="nil"/>
              <w:bottom w:val="single" w:color="auto" w:sz="6" w:space="0"/>
              <w:right w:val="single" w:color="auto" w:sz="6" w:space="0"/>
            </w:tcBorders>
            <w:shd w:val="clear"/>
            <w:tcMar>
              <w:top w:w="0" w:type="dxa"/>
              <w:left w:w="75" w:type="dxa"/>
              <w:bottom w:w="0" w:type="dxa"/>
              <w:right w:w="75" w:type="dxa"/>
            </w:tcMar>
            <w:vAlign w:val="center"/>
          </w:tcPr>
          <w:p>
            <w:pPr>
              <w:pStyle w:val="4"/>
              <w:keepNext w:val="0"/>
              <w:keepLines w:val="0"/>
              <w:widowControl/>
              <w:suppressLineNumbers w:val="0"/>
              <w:spacing w:line="360" w:lineRule="atLeast"/>
              <w:jc w:val="both"/>
              <w:rPr>
                <w:sz w:val="24"/>
                <w:szCs w:val="24"/>
              </w:rPr>
            </w:pPr>
            <w:r>
              <w:rPr>
                <w:rFonts w:hint="eastAsia" w:ascii="仿宋_GB2312" w:hAnsi="Times New Roman" w:eastAsia="仿宋_GB2312" w:cs="仿宋_GB2312"/>
                <w:sz w:val="24"/>
                <w:szCs w:val="24"/>
                <w:bdr w:val="none" w:color="auto" w:sz="0" w:space="0"/>
              </w:rPr>
              <w:t>公开竞争为主，择优委托为辅</w:t>
            </w:r>
          </w:p>
        </w:tc>
        <w:tc>
          <w:tcPr>
            <w:tcW w:w="3780" w:type="dxa"/>
            <w:tcBorders>
              <w:top w:val="nil"/>
              <w:left w:val="nil"/>
              <w:bottom w:val="single" w:color="auto" w:sz="6" w:space="0"/>
              <w:right w:val="single" w:color="auto" w:sz="6" w:space="0"/>
            </w:tcBorders>
            <w:shd w:val="clear"/>
            <w:tcMar>
              <w:top w:w="0" w:type="dxa"/>
              <w:left w:w="75" w:type="dxa"/>
              <w:bottom w:w="0" w:type="dxa"/>
              <w:right w:w="75" w:type="dxa"/>
            </w:tcMar>
            <w:vAlign w:val="center"/>
          </w:tcPr>
          <w:p>
            <w:pPr>
              <w:pStyle w:val="4"/>
              <w:keepNext w:val="0"/>
              <w:keepLines w:val="0"/>
              <w:widowControl/>
              <w:suppressLineNumbers w:val="0"/>
              <w:spacing w:line="360" w:lineRule="atLeast"/>
              <w:jc w:val="both"/>
              <w:rPr>
                <w:sz w:val="24"/>
                <w:szCs w:val="24"/>
              </w:rPr>
            </w:pPr>
            <w:r>
              <w:rPr>
                <w:rFonts w:hint="eastAsia" w:ascii="仿宋_GB2312" w:hAnsi="Times New Roman" w:eastAsia="仿宋_GB2312" w:cs="仿宋_GB2312"/>
                <w:sz w:val="24"/>
                <w:szCs w:val="24"/>
                <w:bdr w:val="none" w:color="auto" w:sz="0" w:space="0"/>
              </w:rPr>
              <w:t>A类基地每年不超过80万元，B类基地每年不超过50万元。根据中期和期末绩效评估结果作动态调整。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25" w:hRule="atLeast"/>
          <w:tblCellSpacing w:w="0" w:type="dxa"/>
          <w:jc w:val="center"/>
        </w:trPr>
        <w:tc>
          <w:tcPr>
            <w:tcW w:w="1380" w:type="dxa"/>
            <w:tcBorders>
              <w:top w:val="nil"/>
              <w:left w:val="single" w:color="auto" w:sz="6" w:space="0"/>
              <w:bottom w:val="single" w:color="auto" w:sz="6" w:space="0"/>
              <w:right w:val="single" w:color="auto" w:sz="6" w:space="0"/>
            </w:tcBorders>
            <w:shd w:val="clear"/>
            <w:tcMar>
              <w:top w:w="0" w:type="dxa"/>
              <w:left w:w="75" w:type="dxa"/>
              <w:bottom w:w="0" w:type="dxa"/>
              <w:right w:w="75" w:type="dxa"/>
            </w:tcMar>
            <w:vAlign w:val="center"/>
          </w:tcPr>
          <w:p>
            <w:pPr>
              <w:pStyle w:val="4"/>
              <w:keepNext w:val="0"/>
              <w:keepLines w:val="0"/>
              <w:widowControl/>
              <w:suppressLineNumbers w:val="0"/>
              <w:spacing w:line="360" w:lineRule="atLeast"/>
              <w:jc w:val="center"/>
              <w:rPr>
                <w:sz w:val="24"/>
                <w:szCs w:val="24"/>
              </w:rPr>
            </w:pPr>
            <w:r>
              <w:rPr>
                <w:rFonts w:hint="eastAsia" w:ascii="仿宋_GB2312" w:hAnsi="Times New Roman" w:eastAsia="仿宋_GB2312" w:cs="仿宋_GB2312"/>
                <w:sz w:val="24"/>
                <w:szCs w:val="24"/>
                <w:bdr w:val="none" w:color="auto" w:sz="0" w:space="0"/>
              </w:rPr>
              <w:t>宣传普及</w:t>
            </w:r>
          </w:p>
        </w:tc>
        <w:tc>
          <w:tcPr>
            <w:tcW w:w="2925" w:type="dxa"/>
            <w:tcBorders>
              <w:top w:val="nil"/>
              <w:left w:val="nil"/>
              <w:bottom w:val="single" w:color="auto" w:sz="6" w:space="0"/>
              <w:right w:val="single" w:color="auto" w:sz="6" w:space="0"/>
            </w:tcBorders>
            <w:shd w:val="clear"/>
            <w:tcMar>
              <w:top w:w="0" w:type="dxa"/>
              <w:left w:w="75" w:type="dxa"/>
              <w:bottom w:w="0" w:type="dxa"/>
              <w:right w:w="75" w:type="dxa"/>
            </w:tcMar>
            <w:vAlign w:val="center"/>
          </w:tcPr>
          <w:p>
            <w:pPr>
              <w:pStyle w:val="4"/>
              <w:keepNext w:val="0"/>
              <w:keepLines w:val="0"/>
              <w:widowControl/>
              <w:suppressLineNumbers w:val="0"/>
              <w:spacing w:line="360" w:lineRule="atLeast"/>
              <w:jc w:val="both"/>
              <w:rPr>
                <w:sz w:val="24"/>
                <w:szCs w:val="24"/>
              </w:rPr>
            </w:pPr>
            <w:r>
              <w:rPr>
                <w:rFonts w:hint="eastAsia" w:ascii="仿宋_GB2312" w:hAnsi="Times New Roman" w:eastAsia="仿宋_GB2312" w:cs="仿宋_GB2312"/>
                <w:sz w:val="24"/>
                <w:szCs w:val="24"/>
                <w:bdr w:val="none" w:color="auto" w:sz="0" w:space="0"/>
              </w:rPr>
              <w:t>社科普及活动、社科普及基地建设、科普创新项目；优秀成果、优秀学者等宣传推介</w:t>
            </w:r>
          </w:p>
        </w:tc>
        <w:tc>
          <w:tcPr>
            <w:tcW w:w="1575" w:type="dxa"/>
            <w:vMerge w:val="restart"/>
            <w:tcBorders>
              <w:top w:val="nil"/>
              <w:left w:val="nil"/>
              <w:bottom w:val="single" w:color="auto" w:sz="6" w:space="0"/>
              <w:right w:val="single" w:color="auto" w:sz="6" w:space="0"/>
            </w:tcBorders>
            <w:shd w:val="clear"/>
            <w:tcMar>
              <w:top w:w="0" w:type="dxa"/>
              <w:left w:w="75" w:type="dxa"/>
              <w:bottom w:w="0" w:type="dxa"/>
              <w:right w:w="75" w:type="dxa"/>
            </w:tcMar>
            <w:vAlign w:val="center"/>
          </w:tcPr>
          <w:p>
            <w:pPr>
              <w:pStyle w:val="4"/>
              <w:keepNext w:val="0"/>
              <w:keepLines w:val="0"/>
              <w:widowControl/>
              <w:suppressLineNumbers w:val="0"/>
              <w:spacing w:line="360" w:lineRule="atLeast"/>
              <w:jc w:val="both"/>
              <w:rPr>
                <w:sz w:val="24"/>
                <w:szCs w:val="24"/>
              </w:rPr>
            </w:pPr>
            <w:r>
              <w:rPr>
                <w:rFonts w:hint="eastAsia" w:ascii="仿宋_GB2312" w:hAnsi="Times New Roman" w:eastAsia="仿宋_GB2312" w:cs="仿宋_GB2312"/>
                <w:sz w:val="24"/>
                <w:szCs w:val="24"/>
                <w:bdr w:val="none" w:color="auto" w:sz="0" w:space="0"/>
              </w:rPr>
              <w:t>政府购买服务</w:t>
            </w:r>
          </w:p>
        </w:tc>
        <w:tc>
          <w:tcPr>
            <w:tcW w:w="3780" w:type="dxa"/>
            <w:vMerge w:val="restart"/>
            <w:tcBorders>
              <w:top w:val="nil"/>
              <w:left w:val="nil"/>
              <w:bottom w:val="single" w:color="auto" w:sz="6" w:space="0"/>
              <w:right w:val="single" w:color="auto" w:sz="6" w:space="0"/>
            </w:tcBorders>
            <w:shd w:val="clear"/>
            <w:tcMar>
              <w:top w:w="0" w:type="dxa"/>
              <w:left w:w="75" w:type="dxa"/>
              <w:bottom w:w="0" w:type="dxa"/>
              <w:right w:w="75" w:type="dxa"/>
            </w:tcMar>
            <w:vAlign w:val="center"/>
          </w:tcPr>
          <w:p>
            <w:pPr>
              <w:pStyle w:val="4"/>
              <w:keepNext w:val="0"/>
              <w:keepLines w:val="0"/>
              <w:widowControl/>
              <w:suppressLineNumbers w:val="0"/>
              <w:spacing w:line="360" w:lineRule="atLeast"/>
              <w:jc w:val="both"/>
              <w:rPr>
                <w:sz w:val="24"/>
                <w:szCs w:val="24"/>
              </w:rPr>
            </w:pPr>
            <w:r>
              <w:rPr>
                <w:rFonts w:hint="eastAsia" w:ascii="仿宋_GB2312" w:hAnsi="Times New Roman" w:eastAsia="仿宋_GB2312" w:cs="仿宋_GB2312"/>
                <w:sz w:val="24"/>
                <w:szCs w:val="24"/>
                <w:bdr w:val="none" w:color="auto" w:sz="0" w:space="0"/>
              </w:rPr>
              <w:t>付款金额和方式根据合同约定。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5" w:hRule="atLeast"/>
          <w:tblCellSpacing w:w="0" w:type="dxa"/>
          <w:jc w:val="center"/>
        </w:trPr>
        <w:tc>
          <w:tcPr>
            <w:tcW w:w="1380" w:type="dxa"/>
            <w:tcBorders>
              <w:top w:val="nil"/>
              <w:left w:val="single" w:color="auto" w:sz="6" w:space="0"/>
              <w:bottom w:val="single" w:color="auto" w:sz="6" w:space="0"/>
              <w:right w:val="single" w:color="auto" w:sz="6" w:space="0"/>
            </w:tcBorders>
            <w:shd w:val="clear"/>
            <w:tcMar>
              <w:top w:w="0" w:type="dxa"/>
              <w:left w:w="75" w:type="dxa"/>
              <w:bottom w:w="0" w:type="dxa"/>
              <w:right w:w="75" w:type="dxa"/>
            </w:tcMar>
            <w:vAlign w:val="center"/>
          </w:tcPr>
          <w:p>
            <w:pPr>
              <w:pStyle w:val="4"/>
              <w:keepNext w:val="0"/>
              <w:keepLines w:val="0"/>
              <w:widowControl/>
              <w:suppressLineNumbers w:val="0"/>
              <w:spacing w:line="360" w:lineRule="atLeast"/>
              <w:jc w:val="center"/>
              <w:rPr>
                <w:sz w:val="24"/>
                <w:szCs w:val="24"/>
              </w:rPr>
            </w:pPr>
            <w:r>
              <w:rPr>
                <w:rFonts w:hint="eastAsia" w:ascii="仿宋_GB2312" w:hAnsi="Times New Roman" w:eastAsia="仿宋_GB2312" w:cs="仿宋_GB2312"/>
                <w:sz w:val="24"/>
                <w:szCs w:val="24"/>
                <w:bdr w:val="none" w:color="auto" w:sz="0" w:space="0"/>
              </w:rPr>
              <w:t>学术活动</w:t>
            </w:r>
          </w:p>
        </w:tc>
        <w:tc>
          <w:tcPr>
            <w:tcW w:w="2925" w:type="dxa"/>
            <w:tcBorders>
              <w:top w:val="nil"/>
              <w:left w:val="nil"/>
              <w:bottom w:val="single" w:color="auto" w:sz="6" w:space="0"/>
              <w:right w:val="single" w:color="auto" w:sz="6" w:space="0"/>
            </w:tcBorders>
            <w:shd w:val="clear"/>
            <w:tcMar>
              <w:top w:w="0" w:type="dxa"/>
              <w:left w:w="75" w:type="dxa"/>
              <w:bottom w:w="0" w:type="dxa"/>
              <w:right w:w="75" w:type="dxa"/>
            </w:tcMar>
            <w:vAlign w:val="center"/>
          </w:tcPr>
          <w:p>
            <w:pPr>
              <w:pStyle w:val="4"/>
              <w:keepNext w:val="0"/>
              <w:keepLines w:val="0"/>
              <w:widowControl/>
              <w:suppressLineNumbers w:val="0"/>
              <w:spacing w:line="360" w:lineRule="atLeast"/>
              <w:jc w:val="both"/>
              <w:rPr>
                <w:sz w:val="24"/>
                <w:szCs w:val="24"/>
              </w:rPr>
            </w:pPr>
            <w:r>
              <w:rPr>
                <w:rFonts w:hint="eastAsia" w:ascii="仿宋_GB2312" w:hAnsi="Times New Roman" w:eastAsia="仿宋_GB2312" w:cs="仿宋_GB2312"/>
                <w:sz w:val="24"/>
                <w:szCs w:val="24"/>
                <w:bdr w:val="none" w:color="auto" w:sz="0" w:space="0"/>
              </w:rPr>
              <w:t>省级重要学术、省级学会、民办社科研究机构学术活动。</w:t>
            </w:r>
          </w:p>
        </w:tc>
        <w:tc>
          <w:tcPr>
            <w:tcW w:w="1575" w:type="dxa"/>
            <w:vMerge w:val="continue"/>
            <w:tcBorders>
              <w:top w:val="nil"/>
              <w:left w:val="nil"/>
              <w:bottom w:val="single" w:color="auto" w:sz="6" w:space="0"/>
              <w:right w:val="single" w:color="auto" w:sz="6" w:space="0"/>
            </w:tcBorders>
            <w:shd w:val="clear"/>
            <w:tcMar>
              <w:top w:w="0" w:type="dxa"/>
              <w:left w:w="75" w:type="dxa"/>
              <w:bottom w:w="0" w:type="dxa"/>
              <w:right w:w="75" w:type="dxa"/>
            </w:tcMar>
            <w:vAlign w:val="center"/>
          </w:tcPr>
          <w:p>
            <w:pPr>
              <w:rPr>
                <w:rFonts w:hint="default" w:ascii="Times New Roman" w:hAnsi="Times New Roman" w:cs="Times New Roman"/>
                <w:sz w:val="19"/>
                <w:szCs w:val="19"/>
              </w:rPr>
            </w:pPr>
          </w:p>
        </w:tc>
        <w:tc>
          <w:tcPr>
            <w:tcW w:w="3780" w:type="dxa"/>
            <w:vMerge w:val="continue"/>
            <w:tcBorders>
              <w:top w:val="nil"/>
              <w:left w:val="nil"/>
              <w:bottom w:val="single" w:color="auto" w:sz="6" w:space="0"/>
              <w:right w:val="single" w:color="auto" w:sz="6" w:space="0"/>
            </w:tcBorders>
            <w:shd w:val="clear"/>
            <w:tcMar>
              <w:top w:w="0" w:type="dxa"/>
              <w:left w:w="75" w:type="dxa"/>
              <w:bottom w:w="0" w:type="dxa"/>
              <w:right w:w="75" w:type="dxa"/>
            </w:tcMar>
            <w:vAlign w:val="center"/>
          </w:tcPr>
          <w:p>
            <w:pPr>
              <w:rPr>
                <w:rFonts w:hint="default" w:ascii="Times New Roman" w:hAnsi="Times New Roman" w:cs="Times New Roman"/>
                <w:sz w:val="19"/>
                <w:szCs w:val="19"/>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75" w:hRule="atLeast"/>
          <w:tblCellSpacing w:w="0" w:type="dxa"/>
          <w:jc w:val="center"/>
        </w:trPr>
        <w:tc>
          <w:tcPr>
            <w:tcW w:w="1380" w:type="dxa"/>
            <w:tcBorders>
              <w:top w:val="nil"/>
              <w:left w:val="single" w:color="auto" w:sz="6" w:space="0"/>
              <w:bottom w:val="single" w:color="auto" w:sz="6" w:space="0"/>
              <w:right w:val="single" w:color="auto" w:sz="6" w:space="0"/>
            </w:tcBorders>
            <w:shd w:val="clear"/>
            <w:tcMar>
              <w:top w:w="0" w:type="dxa"/>
              <w:left w:w="75" w:type="dxa"/>
              <w:bottom w:w="0" w:type="dxa"/>
              <w:right w:w="75" w:type="dxa"/>
            </w:tcMar>
            <w:vAlign w:val="center"/>
          </w:tcPr>
          <w:p>
            <w:pPr>
              <w:pStyle w:val="4"/>
              <w:keepNext w:val="0"/>
              <w:keepLines w:val="0"/>
              <w:widowControl/>
              <w:suppressLineNumbers w:val="0"/>
              <w:spacing w:line="360" w:lineRule="atLeast"/>
              <w:jc w:val="center"/>
              <w:rPr>
                <w:sz w:val="24"/>
                <w:szCs w:val="24"/>
              </w:rPr>
            </w:pPr>
            <w:r>
              <w:rPr>
                <w:rFonts w:hint="eastAsia" w:ascii="仿宋_GB2312" w:hAnsi="Times New Roman" w:eastAsia="仿宋_GB2312" w:cs="仿宋_GB2312"/>
                <w:sz w:val="24"/>
                <w:szCs w:val="24"/>
                <w:bdr w:val="none" w:color="auto" w:sz="0" w:space="0"/>
              </w:rPr>
              <w:t>人才培养</w:t>
            </w:r>
          </w:p>
        </w:tc>
        <w:tc>
          <w:tcPr>
            <w:tcW w:w="2925" w:type="dxa"/>
            <w:tcBorders>
              <w:top w:val="nil"/>
              <w:left w:val="nil"/>
              <w:bottom w:val="single" w:color="auto" w:sz="6" w:space="0"/>
              <w:right w:val="single" w:color="auto" w:sz="6" w:space="0"/>
            </w:tcBorders>
            <w:shd w:val="clear"/>
            <w:tcMar>
              <w:top w:w="0" w:type="dxa"/>
              <w:left w:w="75" w:type="dxa"/>
              <w:bottom w:w="0" w:type="dxa"/>
              <w:right w:w="75" w:type="dxa"/>
            </w:tcMar>
            <w:vAlign w:val="center"/>
          </w:tcPr>
          <w:p>
            <w:pPr>
              <w:pStyle w:val="4"/>
              <w:keepNext w:val="0"/>
              <w:keepLines w:val="0"/>
              <w:widowControl/>
              <w:suppressLineNumbers w:val="0"/>
              <w:spacing w:line="360" w:lineRule="atLeast"/>
              <w:jc w:val="both"/>
              <w:rPr>
                <w:sz w:val="24"/>
                <w:szCs w:val="24"/>
              </w:rPr>
            </w:pPr>
            <w:r>
              <w:rPr>
                <w:rFonts w:hint="eastAsia" w:ascii="仿宋_GB2312" w:hAnsi="Times New Roman" w:eastAsia="仿宋_GB2312" w:cs="仿宋_GB2312"/>
                <w:sz w:val="24"/>
                <w:szCs w:val="24"/>
                <w:bdr w:val="none" w:color="auto" w:sz="0" w:space="0"/>
              </w:rPr>
              <w:t>哲学社会科学人才和队伍建设，之江青年社科学者行动计划中的小组活动和浙江发展研究中心分中心活动。</w:t>
            </w:r>
          </w:p>
        </w:tc>
        <w:tc>
          <w:tcPr>
            <w:tcW w:w="1575" w:type="dxa"/>
            <w:tcBorders>
              <w:top w:val="nil"/>
              <w:left w:val="nil"/>
              <w:bottom w:val="single" w:color="auto" w:sz="6" w:space="0"/>
              <w:right w:val="single" w:color="auto" w:sz="6" w:space="0"/>
            </w:tcBorders>
            <w:shd w:val="clear"/>
            <w:tcMar>
              <w:top w:w="0" w:type="dxa"/>
              <w:left w:w="75" w:type="dxa"/>
              <w:bottom w:w="0" w:type="dxa"/>
              <w:right w:w="75" w:type="dxa"/>
            </w:tcMar>
            <w:vAlign w:val="center"/>
          </w:tcPr>
          <w:p>
            <w:pPr>
              <w:pStyle w:val="4"/>
              <w:keepNext w:val="0"/>
              <w:keepLines w:val="0"/>
              <w:widowControl/>
              <w:suppressLineNumbers w:val="0"/>
              <w:spacing w:line="360" w:lineRule="atLeast"/>
              <w:jc w:val="both"/>
              <w:rPr>
                <w:sz w:val="24"/>
                <w:szCs w:val="24"/>
              </w:rPr>
            </w:pPr>
            <w:r>
              <w:rPr>
                <w:rFonts w:hint="eastAsia" w:ascii="仿宋_GB2312" w:hAnsi="Times New Roman" w:eastAsia="仿宋_GB2312" w:cs="仿宋_GB2312"/>
                <w:sz w:val="24"/>
                <w:szCs w:val="24"/>
                <w:bdr w:val="none" w:color="auto" w:sz="0" w:space="0"/>
              </w:rPr>
              <w:t>公开竞争为主，择优委托为辅</w:t>
            </w:r>
          </w:p>
        </w:tc>
        <w:tc>
          <w:tcPr>
            <w:tcW w:w="3780" w:type="dxa"/>
            <w:tcBorders>
              <w:top w:val="nil"/>
              <w:left w:val="nil"/>
              <w:bottom w:val="single" w:color="auto" w:sz="6" w:space="0"/>
              <w:right w:val="single" w:color="auto" w:sz="6" w:space="0"/>
            </w:tcBorders>
            <w:shd w:val="clear"/>
            <w:tcMar>
              <w:top w:w="0" w:type="dxa"/>
              <w:left w:w="75" w:type="dxa"/>
              <w:bottom w:w="0" w:type="dxa"/>
              <w:right w:w="75" w:type="dxa"/>
            </w:tcMar>
            <w:vAlign w:val="center"/>
          </w:tcPr>
          <w:p>
            <w:pPr>
              <w:pStyle w:val="4"/>
              <w:keepNext w:val="0"/>
              <w:keepLines w:val="0"/>
              <w:widowControl/>
              <w:suppressLineNumbers w:val="0"/>
              <w:spacing w:line="360" w:lineRule="atLeast"/>
              <w:jc w:val="both"/>
              <w:rPr>
                <w:sz w:val="24"/>
                <w:szCs w:val="24"/>
              </w:rPr>
            </w:pPr>
            <w:r>
              <w:rPr>
                <w:rFonts w:hint="eastAsia" w:ascii="仿宋_GB2312" w:hAnsi="Times New Roman" w:eastAsia="仿宋_GB2312" w:cs="仿宋_GB2312"/>
                <w:sz w:val="24"/>
                <w:szCs w:val="24"/>
                <w:bdr w:val="none" w:color="auto" w:sz="0" w:space="0"/>
              </w:rPr>
              <w:t>之江青年活动小组财政资助额度为每年每个小组不超过15万元，浙江发展研究中心每年每个分中心为不超过40万元。根据中期和期末绩效评估结果作动态调整。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35" w:hRule="atLeast"/>
          <w:tblCellSpacing w:w="0" w:type="dxa"/>
          <w:jc w:val="center"/>
        </w:trPr>
        <w:tc>
          <w:tcPr>
            <w:tcW w:w="1380" w:type="dxa"/>
            <w:tcBorders>
              <w:top w:val="nil"/>
              <w:left w:val="single" w:color="auto" w:sz="6" w:space="0"/>
              <w:bottom w:val="single" w:color="auto" w:sz="6" w:space="0"/>
              <w:right w:val="single" w:color="auto" w:sz="6" w:space="0"/>
            </w:tcBorders>
            <w:shd w:val="clear"/>
            <w:tcMar>
              <w:top w:w="0" w:type="dxa"/>
              <w:left w:w="75" w:type="dxa"/>
              <w:bottom w:w="0" w:type="dxa"/>
              <w:right w:w="75" w:type="dxa"/>
            </w:tcMar>
            <w:vAlign w:val="center"/>
          </w:tcPr>
          <w:p>
            <w:pPr>
              <w:pStyle w:val="4"/>
              <w:keepNext w:val="0"/>
              <w:keepLines w:val="0"/>
              <w:widowControl/>
              <w:suppressLineNumbers w:val="0"/>
              <w:spacing w:line="360" w:lineRule="atLeast"/>
              <w:jc w:val="center"/>
              <w:rPr>
                <w:sz w:val="24"/>
                <w:szCs w:val="24"/>
              </w:rPr>
            </w:pPr>
            <w:r>
              <w:rPr>
                <w:rFonts w:hint="eastAsia" w:ascii="仿宋_GB2312" w:hAnsi="Times New Roman" w:eastAsia="仿宋_GB2312" w:cs="仿宋_GB2312"/>
                <w:sz w:val="24"/>
                <w:szCs w:val="24"/>
                <w:bdr w:val="none" w:color="auto" w:sz="0" w:space="0"/>
              </w:rPr>
              <w:t>省哲学社会科学优秀成果奖励</w:t>
            </w:r>
          </w:p>
        </w:tc>
        <w:tc>
          <w:tcPr>
            <w:tcW w:w="2925" w:type="dxa"/>
            <w:tcBorders>
              <w:top w:val="nil"/>
              <w:left w:val="nil"/>
              <w:bottom w:val="single" w:color="auto" w:sz="6" w:space="0"/>
              <w:right w:val="single" w:color="auto" w:sz="6" w:space="0"/>
            </w:tcBorders>
            <w:shd w:val="clear"/>
            <w:tcMar>
              <w:top w:w="0" w:type="dxa"/>
              <w:left w:w="75" w:type="dxa"/>
              <w:bottom w:w="0" w:type="dxa"/>
              <w:right w:w="75" w:type="dxa"/>
            </w:tcMar>
            <w:vAlign w:val="center"/>
          </w:tcPr>
          <w:p>
            <w:pPr>
              <w:keepNext w:val="0"/>
              <w:keepLines w:val="0"/>
              <w:widowControl/>
              <w:suppressLineNumbers w:val="0"/>
              <w:jc w:val="left"/>
              <w:rPr>
                <w:rFonts w:hint="default" w:ascii="Times New Roman" w:hAnsi="Times New Roman" w:cs="Times New Roman"/>
                <w:sz w:val="19"/>
                <w:szCs w:val="19"/>
              </w:rPr>
            </w:pPr>
          </w:p>
        </w:tc>
        <w:tc>
          <w:tcPr>
            <w:tcW w:w="1575" w:type="dxa"/>
            <w:tcBorders>
              <w:top w:val="nil"/>
              <w:left w:val="nil"/>
              <w:bottom w:val="single" w:color="auto" w:sz="6" w:space="0"/>
              <w:right w:val="single" w:color="auto" w:sz="6" w:space="0"/>
            </w:tcBorders>
            <w:shd w:val="clear"/>
            <w:tcMar>
              <w:top w:w="0" w:type="dxa"/>
              <w:left w:w="75" w:type="dxa"/>
              <w:bottom w:w="0" w:type="dxa"/>
              <w:right w:w="75" w:type="dxa"/>
            </w:tcMar>
            <w:vAlign w:val="center"/>
          </w:tcPr>
          <w:p>
            <w:pPr>
              <w:pStyle w:val="4"/>
              <w:keepNext w:val="0"/>
              <w:keepLines w:val="0"/>
              <w:widowControl/>
              <w:suppressLineNumbers w:val="0"/>
              <w:spacing w:line="360" w:lineRule="atLeast"/>
              <w:jc w:val="both"/>
              <w:rPr>
                <w:sz w:val="24"/>
                <w:szCs w:val="24"/>
              </w:rPr>
            </w:pPr>
            <w:r>
              <w:rPr>
                <w:rFonts w:hint="eastAsia" w:ascii="仿宋_GB2312" w:hAnsi="Times New Roman" w:eastAsia="仿宋_GB2312" w:cs="仿宋_GB2312"/>
                <w:sz w:val="24"/>
                <w:szCs w:val="24"/>
                <w:bdr w:val="none" w:color="auto" w:sz="0" w:space="0"/>
              </w:rPr>
              <w:t>公开竞争</w:t>
            </w:r>
          </w:p>
        </w:tc>
        <w:tc>
          <w:tcPr>
            <w:tcW w:w="3780" w:type="dxa"/>
            <w:tcBorders>
              <w:top w:val="nil"/>
              <w:left w:val="nil"/>
              <w:bottom w:val="single" w:color="auto" w:sz="6" w:space="0"/>
              <w:right w:val="single" w:color="auto" w:sz="6" w:space="0"/>
            </w:tcBorders>
            <w:shd w:val="clear"/>
            <w:tcMar>
              <w:top w:w="0" w:type="dxa"/>
              <w:left w:w="75" w:type="dxa"/>
              <w:bottom w:w="0" w:type="dxa"/>
              <w:right w:w="75" w:type="dxa"/>
            </w:tcMar>
            <w:vAlign w:val="center"/>
          </w:tcPr>
          <w:p>
            <w:pPr>
              <w:pStyle w:val="4"/>
              <w:keepNext w:val="0"/>
              <w:keepLines w:val="0"/>
              <w:widowControl/>
              <w:suppressLineNumbers w:val="0"/>
              <w:spacing w:line="360" w:lineRule="atLeast"/>
              <w:jc w:val="both"/>
              <w:rPr>
                <w:sz w:val="24"/>
                <w:szCs w:val="24"/>
              </w:rPr>
            </w:pPr>
            <w:r>
              <w:rPr>
                <w:rFonts w:hint="eastAsia" w:ascii="仿宋_GB2312" w:hAnsi="Times New Roman" w:eastAsia="仿宋_GB2312" w:cs="仿宋_GB2312"/>
                <w:sz w:val="24"/>
                <w:szCs w:val="24"/>
                <w:bdr w:val="none" w:color="auto" w:sz="0" w:space="0"/>
              </w:rPr>
              <w:t>奖励额度为一等奖8-10万元，二等奖3-5万元，青年奖1-3万元。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60" w:hRule="atLeast"/>
          <w:tblCellSpacing w:w="0" w:type="dxa"/>
          <w:jc w:val="center"/>
        </w:trPr>
        <w:tc>
          <w:tcPr>
            <w:tcW w:w="1380" w:type="dxa"/>
            <w:tcBorders>
              <w:top w:val="nil"/>
              <w:left w:val="single" w:color="auto" w:sz="6" w:space="0"/>
              <w:bottom w:val="single" w:color="auto" w:sz="6" w:space="0"/>
              <w:right w:val="single" w:color="auto" w:sz="6" w:space="0"/>
            </w:tcBorders>
            <w:shd w:val="clear"/>
            <w:tcMar>
              <w:top w:w="0" w:type="dxa"/>
              <w:left w:w="75" w:type="dxa"/>
              <w:bottom w:w="0" w:type="dxa"/>
              <w:right w:w="75" w:type="dxa"/>
            </w:tcMar>
            <w:vAlign w:val="center"/>
          </w:tcPr>
          <w:p>
            <w:pPr>
              <w:pStyle w:val="4"/>
              <w:keepNext w:val="0"/>
              <w:keepLines w:val="0"/>
              <w:widowControl/>
              <w:suppressLineNumbers w:val="0"/>
              <w:spacing w:line="360" w:lineRule="atLeast"/>
              <w:jc w:val="center"/>
              <w:rPr>
                <w:sz w:val="24"/>
                <w:szCs w:val="24"/>
              </w:rPr>
            </w:pPr>
            <w:r>
              <w:rPr>
                <w:rFonts w:hint="eastAsia" w:ascii="仿宋_GB2312" w:hAnsi="Times New Roman" w:eastAsia="仿宋_GB2312" w:cs="仿宋_GB2312"/>
                <w:sz w:val="24"/>
                <w:szCs w:val="24"/>
                <w:bdr w:val="none" w:color="auto" w:sz="0" w:space="0"/>
              </w:rPr>
              <w:t>省级社会科学学术著作出版</w:t>
            </w:r>
          </w:p>
        </w:tc>
        <w:tc>
          <w:tcPr>
            <w:tcW w:w="2925" w:type="dxa"/>
            <w:tcBorders>
              <w:top w:val="nil"/>
              <w:left w:val="nil"/>
              <w:bottom w:val="single" w:color="auto" w:sz="6" w:space="0"/>
              <w:right w:val="single" w:color="auto" w:sz="6" w:space="0"/>
            </w:tcBorders>
            <w:shd w:val="clear"/>
            <w:tcMar>
              <w:top w:w="0" w:type="dxa"/>
              <w:left w:w="75" w:type="dxa"/>
              <w:bottom w:w="0" w:type="dxa"/>
              <w:right w:w="75" w:type="dxa"/>
            </w:tcMar>
            <w:vAlign w:val="center"/>
          </w:tcPr>
          <w:p>
            <w:pPr>
              <w:keepNext w:val="0"/>
              <w:keepLines w:val="0"/>
              <w:widowControl/>
              <w:suppressLineNumbers w:val="0"/>
              <w:jc w:val="left"/>
              <w:rPr>
                <w:rFonts w:hint="default" w:ascii="Times New Roman" w:hAnsi="Times New Roman" w:cs="Times New Roman"/>
                <w:sz w:val="19"/>
                <w:szCs w:val="19"/>
              </w:rPr>
            </w:pPr>
          </w:p>
        </w:tc>
        <w:tc>
          <w:tcPr>
            <w:tcW w:w="1575" w:type="dxa"/>
            <w:tcBorders>
              <w:top w:val="nil"/>
              <w:left w:val="nil"/>
              <w:bottom w:val="single" w:color="auto" w:sz="6" w:space="0"/>
              <w:right w:val="single" w:color="auto" w:sz="6" w:space="0"/>
            </w:tcBorders>
            <w:shd w:val="clear"/>
            <w:tcMar>
              <w:top w:w="0" w:type="dxa"/>
              <w:left w:w="75" w:type="dxa"/>
              <w:bottom w:w="0" w:type="dxa"/>
              <w:right w:w="75" w:type="dxa"/>
            </w:tcMar>
            <w:vAlign w:val="center"/>
          </w:tcPr>
          <w:p>
            <w:pPr>
              <w:pStyle w:val="4"/>
              <w:keepNext w:val="0"/>
              <w:keepLines w:val="0"/>
              <w:widowControl/>
              <w:suppressLineNumbers w:val="0"/>
              <w:spacing w:line="360" w:lineRule="atLeast"/>
              <w:jc w:val="both"/>
              <w:rPr>
                <w:sz w:val="24"/>
                <w:szCs w:val="24"/>
              </w:rPr>
            </w:pPr>
            <w:r>
              <w:rPr>
                <w:rFonts w:hint="eastAsia" w:ascii="仿宋_GB2312" w:hAnsi="Times New Roman" w:eastAsia="仿宋_GB2312" w:cs="仿宋_GB2312"/>
                <w:sz w:val="24"/>
                <w:szCs w:val="24"/>
                <w:bdr w:val="none" w:color="auto" w:sz="0" w:space="0"/>
              </w:rPr>
              <w:t>公开竞争为主，择优委托为辅</w:t>
            </w:r>
          </w:p>
        </w:tc>
        <w:tc>
          <w:tcPr>
            <w:tcW w:w="3780" w:type="dxa"/>
            <w:tcBorders>
              <w:top w:val="nil"/>
              <w:left w:val="nil"/>
              <w:bottom w:val="single" w:color="auto" w:sz="6" w:space="0"/>
              <w:right w:val="single" w:color="auto" w:sz="6" w:space="0"/>
            </w:tcBorders>
            <w:shd w:val="clear"/>
            <w:tcMar>
              <w:top w:w="0" w:type="dxa"/>
              <w:left w:w="75" w:type="dxa"/>
              <w:bottom w:w="0" w:type="dxa"/>
              <w:right w:w="75" w:type="dxa"/>
            </w:tcMar>
            <w:vAlign w:val="center"/>
          </w:tcPr>
          <w:p>
            <w:pPr>
              <w:pStyle w:val="4"/>
              <w:keepNext w:val="0"/>
              <w:keepLines w:val="0"/>
              <w:widowControl/>
              <w:suppressLineNumbers w:val="0"/>
              <w:spacing w:line="360" w:lineRule="atLeast"/>
              <w:jc w:val="both"/>
              <w:rPr>
                <w:sz w:val="24"/>
                <w:szCs w:val="24"/>
              </w:rPr>
            </w:pPr>
            <w:r>
              <w:rPr>
                <w:rFonts w:hint="eastAsia" w:ascii="仿宋_GB2312" w:hAnsi="Times New Roman" w:eastAsia="仿宋_GB2312" w:cs="仿宋_GB2312"/>
                <w:sz w:val="24"/>
                <w:szCs w:val="24"/>
                <w:bdr w:val="none" w:color="auto" w:sz="0" w:space="0"/>
              </w:rPr>
              <w:t>根据评审结果，分为全额资助和部分资助。全额资助额度以出版合同为准，部分资助额度为1.5-3万元。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5" w:hRule="atLeast"/>
          <w:tblCellSpacing w:w="0" w:type="dxa"/>
          <w:jc w:val="center"/>
        </w:trPr>
        <w:tc>
          <w:tcPr>
            <w:tcW w:w="1380" w:type="dxa"/>
            <w:vMerge w:val="restart"/>
            <w:tcBorders>
              <w:top w:val="nil"/>
              <w:left w:val="single" w:color="auto" w:sz="6" w:space="0"/>
              <w:bottom w:val="single" w:color="auto" w:sz="6" w:space="0"/>
              <w:right w:val="single" w:color="auto" w:sz="6" w:space="0"/>
            </w:tcBorders>
            <w:shd w:val="clear"/>
            <w:tcMar>
              <w:top w:w="0" w:type="dxa"/>
              <w:left w:w="75" w:type="dxa"/>
              <w:bottom w:w="0" w:type="dxa"/>
              <w:right w:w="75" w:type="dxa"/>
            </w:tcMar>
            <w:vAlign w:val="center"/>
          </w:tcPr>
          <w:p>
            <w:pPr>
              <w:pStyle w:val="4"/>
              <w:keepNext w:val="0"/>
              <w:keepLines w:val="0"/>
              <w:widowControl/>
              <w:suppressLineNumbers w:val="0"/>
              <w:spacing w:line="360" w:lineRule="atLeast"/>
              <w:jc w:val="center"/>
              <w:rPr>
                <w:sz w:val="24"/>
                <w:szCs w:val="24"/>
              </w:rPr>
            </w:pPr>
            <w:r>
              <w:rPr>
                <w:rFonts w:hint="eastAsia" w:ascii="仿宋_GB2312" w:hAnsi="Times New Roman" w:eastAsia="仿宋_GB2312" w:cs="仿宋_GB2312"/>
                <w:sz w:val="24"/>
                <w:szCs w:val="24"/>
                <w:bdr w:val="none" w:color="auto" w:sz="0" w:space="0"/>
              </w:rPr>
              <w:t> </w:t>
            </w:r>
          </w:p>
          <w:p>
            <w:pPr>
              <w:pStyle w:val="4"/>
              <w:keepNext w:val="0"/>
              <w:keepLines w:val="0"/>
              <w:widowControl/>
              <w:suppressLineNumbers w:val="0"/>
              <w:spacing w:line="360" w:lineRule="atLeast"/>
              <w:jc w:val="center"/>
              <w:rPr>
                <w:sz w:val="24"/>
                <w:szCs w:val="24"/>
              </w:rPr>
            </w:pPr>
            <w:r>
              <w:rPr>
                <w:rFonts w:hint="eastAsia" w:ascii="仿宋_GB2312" w:hAnsi="Times New Roman" w:eastAsia="仿宋_GB2312" w:cs="仿宋_GB2312"/>
                <w:sz w:val="24"/>
                <w:szCs w:val="24"/>
                <w:bdr w:val="none" w:color="auto" w:sz="0" w:space="0"/>
              </w:rPr>
              <w:t>浙江文化研究工程项目研究</w:t>
            </w:r>
          </w:p>
        </w:tc>
        <w:tc>
          <w:tcPr>
            <w:tcW w:w="2925" w:type="dxa"/>
            <w:tcBorders>
              <w:top w:val="nil"/>
              <w:left w:val="nil"/>
              <w:bottom w:val="single" w:color="auto" w:sz="6" w:space="0"/>
              <w:right w:val="single" w:color="auto" w:sz="6" w:space="0"/>
            </w:tcBorders>
            <w:shd w:val="clear"/>
            <w:tcMar>
              <w:top w:w="0" w:type="dxa"/>
              <w:left w:w="75" w:type="dxa"/>
              <w:bottom w:w="0" w:type="dxa"/>
              <w:right w:w="75" w:type="dxa"/>
            </w:tcMar>
            <w:vAlign w:val="center"/>
          </w:tcPr>
          <w:p>
            <w:pPr>
              <w:pStyle w:val="4"/>
              <w:keepNext w:val="0"/>
              <w:keepLines w:val="0"/>
              <w:widowControl/>
              <w:suppressLineNumbers w:val="0"/>
              <w:spacing w:line="360" w:lineRule="atLeast"/>
              <w:jc w:val="both"/>
              <w:rPr>
                <w:sz w:val="24"/>
                <w:szCs w:val="24"/>
              </w:rPr>
            </w:pPr>
            <w:r>
              <w:rPr>
                <w:rFonts w:hint="eastAsia" w:ascii="仿宋_GB2312" w:hAnsi="Times New Roman" w:eastAsia="仿宋_GB2312" w:cs="仿宋_GB2312"/>
                <w:sz w:val="24"/>
                <w:szCs w:val="24"/>
                <w:bdr w:val="none" w:color="auto" w:sz="0" w:space="0"/>
              </w:rPr>
              <w:t>研究类项目</w:t>
            </w:r>
          </w:p>
        </w:tc>
        <w:tc>
          <w:tcPr>
            <w:tcW w:w="1575" w:type="dxa"/>
            <w:vMerge w:val="restart"/>
            <w:tcBorders>
              <w:top w:val="nil"/>
              <w:left w:val="nil"/>
              <w:bottom w:val="single" w:color="auto" w:sz="6" w:space="0"/>
              <w:right w:val="single" w:color="auto" w:sz="6" w:space="0"/>
            </w:tcBorders>
            <w:shd w:val="clear"/>
            <w:tcMar>
              <w:top w:w="0" w:type="dxa"/>
              <w:left w:w="75" w:type="dxa"/>
              <w:bottom w:w="0" w:type="dxa"/>
              <w:right w:w="75" w:type="dxa"/>
            </w:tcMar>
            <w:vAlign w:val="center"/>
          </w:tcPr>
          <w:p>
            <w:pPr>
              <w:pStyle w:val="4"/>
              <w:keepNext w:val="0"/>
              <w:keepLines w:val="0"/>
              <w:widowControl/>
              <w:suppressLineNumbers w:val="0"/>
              <w:spacing w:line="360" w:lineRule="atLeast"/>
              <w:jc w:val="both"/>
              <w:rPr>
                <w:sz w:val="24"/>
                <w:szCs w:val="24"/>
              </w:rPr>
            </w:pPr>
            <w:r>
              <w:rPr>
                <w:rFonts w:hint="eastAsia" w:ascii="仿宋_GB2312" w:hAnsi="Times New Roman" w:eastAsia="仿宋_GB2312" w:cs="仿宋_GB2312"/>
                <w:sz w:val="24"/>
                <w:szCs w:val="24"/>
                <w:bdr w:val="none" w:color="auto" w:sz="0" w:space="0"/>
              </w:rPr>
              <w:t>公开竞争为主，择优委托为辅</w:t>
            </w:r>
          </w:p>
        </w:tc>
        <w:tc>
          <w:tcPr>
            <w:tcW w:w="3780" w:type="dxa"/>
            <w:tcBorders>
              <w:top w:val="nil"/>
              <w:left w:val="nil"/>
              <w:bottom w:val="single" w:color="auto" w:sz="6" w:space="0"/>
              <w:right w:val="single" w:color="auto" w:sz="6" w:space="0"/>
            </w:tcBorders>
            <w:shd w:val="clear"/>
            <w:tcMar>
              <w:top w:w="0" w:type="dxa"/>
              <w:left w:w="75" w:type="dxa"/>
              <w:bottom w:w="0" w:type="dxa"/>
              <w:right w:w="75" w:type="dxa"/>
            </w:tcMar>
            <w:vAlign w:val="center"/>
          </w:tcPr>
          <w:p>
            <w:pPr>
              <w:pStyle w:val="4"/>
              <w:keepNext w:val="0"/>
              <w:keepLines w:val="0"/>
              <w:widowControl/>
              <w:suppressLineNumbers w:val="0"/>
              <w:spacing w:line="360" w:lineRule="atLeast"/>
              <w:jc w:val="both"/>
              <w:rPr>
                <w:sz w:val="24"/>
                <w:szCs w:val="24"/>
              </w:rPr>
            </w:pPr>
            <w:r>
              <w:rPr>
                <w:rFonts w:hint="eastAsia" w:ascii="仿宋_GB2312" w:hAnsi="Times New Roman" w:eastAsia="仿宋_GB2312" w:cs="仿宋_GB2312"/>
                <w:sz w:val="24"/>
                <w:szCs w:val="24"/>
                <w:bdr w:val="none" w:color="auto" w:sz="0" w:space="0"/>
              </w:rPr>
              <w:t>10-15万元/册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0" w:type="dxa"/>
          <w:jc w:val="center"/>
        </w:trPr>
        <w:tc>
          <w:tcPr>
            <w:tcW w:w="1380" w:type="dxa"/>
            <w:vMerge w:val="continue"/>
            <w:tcBorders>
              <w:top w:val="nil"/>
              <w:left w:val="single" w:color="auto" w:sz="6" w:space="0"/>
              <w:bottom w:val="single" w:color="auto" w:sz="6" w:space="0"/>
              <w:right w:val="single" w:color="auto" w:sz="6" w:space="0"/>
            </w:tcBorders>
            <w:shd w:val="clear"/>
            <w:tcMar>
              <w:top w:w="0" w:type="dxa"/>
              <w:left w:w="75" w:type="dxa"/>
              <w:bottom w:w="0" w:type="dxa"/>
              <w:right w:w="75" w:type="dxa"/>
            </w:tcMar>
            <w:vAlign w:val="center"/>
          </w:tcPr>
          <w:p>
            <w:pPr>
              <w:rPr>
                <w:rFonts w:hint="default" w:ascii="Times New Roman" w:hAnsi="Times New Roman" w:cs="Times New Roman"/>
                <w:sz w:val="19"/>
                <w:szCs w:val="19"/>
              </w:rPr>
            </w:pPr>
          </w:p>
        </w:tc>
        <w:tc>
          <w:tcPr>
            <w:tcW w:w="2925" w:type="dxa"/>
            <w:tcBorders>
              <w:top w:val="nil"/>
              <w:left w:val="nil"/>
              <w:bottom w:val="single" w:color="auto" w:sz="6" w:space="0"/>
              <w:right w:val="single" w:color="auto" w:sz="6" w:space="0"/>
            </w:tcBorders>
            <w:shd w:val="clear"/>
            <w:tcMar>
              <w:top w:w="0" w:type="dxa"/>
              <w:left w:w="75" w:type="dxa"/>
              <w:bottom w:w="0" w:type="dxa"/>
              <w:right w:w="75" w:type="dxa"/>
            </w:tcMar>
            <w:vAlign w:val="center"/>
          </w:tcPr>
          <w:p>
            <w:pPr>
              <w:pStyle w:val="4"/>
              <w:keepNext w:val="0"/>
              <w:keepLines w:val="0"/>
              <w:widowControl/>
              <w:suppressLineNumbers w:val="0"/>
              <w:spacing w:line="360" w:lineRule="atLeast"/>
              <w:jc w:val="both"/>
              <w:rPr>
                <w:sz w:val="24"/>
                <w:szCs w:val="24"/>
              </w:rPr>
            </w:pPr>
            <w:r>
              <w:rPr>
                <w:rFonts w:hint="eastAsia" w:ascii="仿宋_GB2312" w:hAnsi="Times New Roman" w:eastAsia="仿宋_GB2312" w:cs="仿宋_GB2312"/>
                <w:sz w:val="24"/>
                <w:szCs w:val="24"/>
                <w:bdr w:val="none" w:color="auto" w:sz="0" w:space="0"/>
              </w:rPr>
              <w:t>点校本、笺校本等古籍整理/研究</w:t>
            </w:r>
          </w:p>
        </w:tc>
        <w:tc>
          <w:tcPr>
            <w:tcW w:w="1575" w:type="dxa"/>
            <w:vMerge w:val="continue"/>
            <w:tcBorders>
              <w:top w:val="nil"/>
              <w:left w:val="nil"/>
              <w:bottom w:val="single" w:color="auto" w:sz="6" w:space="0"/>
              <w:right w:val="single" w:color="auto" w:sz="6" w:space="0"/>
            </w:tcBorders>
            <w:shd w:val="clear"/>
            <w:tcMar>
              <w:top w:w="0" w:type="dxa"/>
              <w:left w:w="75" w:type="dxa"/>
              <w:bottom w:w="0" w:type="dxa"/>
              <w:right w:w="75" w:type="dxa"/>
            </w:tcMar>
            <w:vAlign w:val="center"/>
          </w:tcPr>
          <w:p>
            <w:pPr>
              <w:rPr>
                <w:rFonts w:hint="default" w:ascii="Times New Roman" w:hAnsi="Times New Roman" w:cs="Times New Roman"/>
                <w:sz w:val="19"/>
                <w:szCs w:val="19"/>
              </w:rPr>
            </w:pPr>
          </w:p>
        </w:tc>
        <w:tc>
          <w:tcPr>
            <w:tcW w:w="3780" w:type="dxa"/>
            <w:tcBorders>
              <w:top w:val="nil"/>
              <w:left w:val="nil"/>
              <w:bottom w:val="single" w:color="auto" w:sz="6" w:space="0"/>
              <w:right w:val="single" w:color="auto" w:sz="6" w:space="0"/>
            </w:tcBorders>
            <w:shd w:val="clear"/>
            <w:tcMar>
              <w:top w:w="0" w:type="dxa"/>
              <w:left w:w="75" w:type="dxa"/>
              <w:bottom w:w="0" w:type="dxa"/>
              <w:right w:w="75" w:type="dxa"/>
            </w:tcMar>
            <w:vAlign w:val="center"/>
          </w:tcPr>
          <w:p>
            <w:pPr>
              <w:pStyle w:val="4"/>
              <w:keepNext w:val="0"/>
              <w:keepLines w:val="0"/>
              <w:widowControl/>
              <w:suppressLineNumbers w:val="0"/>
              <w:spacing w:line="360" w:lineRule="atLeast"/>
              <w:jc w:val="both"/>
              <w:rPr>
                <w:sz w:val="24"/>
                <w:szCs w:val="24"/>
              </w:rPr>
            </w:pPr>
            <w:r>
              <w:rPr>
                <w:rFonts w:hint="eastAsia" w:ascii="仿宋_GB2312" w:hAnsi="Times New Roman" w:eastAsia="仿宋_GB2312" w:cs="仿宋_GB2312"/>
                <w:sz w:val="24"/>
                <w:szCs w:val="24"/>
                <w:bdr w:val="none" w:color="auto" w:sz="0" w:space="0"/>
              </w:rPr>
              <w:t>7-15万元/册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0" w:hRule="atLeast"/>
          <w:tblCellSpacing w:w="0" w:type="dxa"/>
          <w:jc w:val="center"/>
        </w:trPr>
        <w:tc>
          <w:tcPr>
            <w:tcW w:w="1380" w:type="dxa"/>
            <w:vMerge w:val="continue"/>
            <w:tcBorders>
              <w:top w:val="nil"/>
              <w:left w:val="single" w:color="auto" w:sz="6" w:space="0"/>
              <w:bottom w:val="single" w:color="auto" w:sz="6" w:space="0"/>
              <w:right w:val="single" w:color="auto" w:sz="6" w:space="0"/>
            </w:tcBorders>
            <w:shd w:val="clear"/>
            <w:tcMar>
              <w:top w:w="0" w:type="dxa"/>
              <w:left w:w="75" w:type="dxa"/>
              <w:bottom w:w="0" w:type="dxa"/>
              <w:right w:w="75" w:type="dxa"/>
            </w:tcMar>
            <w:vAlign w:val="center"/>
          </w:tcPr>
          <w:p>
            <w:pPr>
              <w:rPr>
                <w:rFonts w:hint="default" w:ascii="Times New Roman" w:hAnsi="Times New Roman" w:cs="Times New Roman"/>
                <w:sz w:val="19"/>
                <w:szCs w:val="19"/>
              </w:rPr>
            </w:pPr>
          </w:p>
        </w:tc>
        <w:tc>
          <w:tcPr>
            <w:tcW w:w="2925" w:type="dxa"/>
            <w:tcBorders>
              <w:top w:val="nil"/>
              <w:left w:val="nil"/>
              <w:bottom w:val="single" w:color="auto" w:sz="6" w:space="0"/>
              <w:right w:val="single" w:color="auto" w:sz="6" w:space="0"/>
            </w:tcBorders>
            <w:shd w:val="clear"/>
            <w:tcMar>
              <w:top w:w="0" w:type="dxa"/>
              <w:left w:w="75" w:type="dxa"/>
              <w:bottom w:w="0" w:type="dxa"/>
              <w:right w:w="75" w:type="dxa"/>
            </w:tcMar>
            <w:vAlign w:val="center"/>
          </w:tcPr>
          <w:p>
            <w:pPr>
              <w:pStyle w:val="4"/>
              <w:keepNext w:val="0"/>
              <w:keepLines w:val="0"/>
              <w:widowControl/>
              <w:suppressLineNumbers w:val="0"/>
              <w:spacing w:line="360" w:lineRule="atLeast"/>
              <w:jc w:val="both"/>
              <w:rPr>
                <w:sz w:val="24"/>
                <w:szCs w:val="24"/>
              </w:rPr>
            </w:pPr>
            <w:r>
              <w:rPr>
                <w:rFonts w:hint="eastAsia" w:ascii="仿宋_GB2312" w:hAnsi="Times New Roman" w:eastAsia="仿宋_GB2312" w:cs="仿宋_GB2312"/>
                <w:sz w:val="24"/>
                <w:szCs w:val="24"/>
                <w:bdr w:val="none" w:color="auto" w:sz="0" w:space="0"/>
              </w:rPr>
              <w:t>标点本等古籍整理/研究</w:t>
            </w:r>
          </w:p>
        </w:tc>
        <w:tc>
          <w:tcPr>
            <w:tcW w:w="1575" w:type="dxa"/>
            <w:vMerge w:val="continue"/>
            <w:tcBorders>
              <w:top w:val="nil"/>
              <w:left w:val="nil"/>
              <w:bottom w:val="single" w:color="auto" w:sz="6" w:space="0"/>
              <w:right w:val="single" w:color="auto" w:sz="6" w:space="0"/>
            </w:tcBorders>
            <w:shd w:val="clear"/>
            <w:tcMar>
              <w:top w:w="0" w:type="dxa"/>
              <w:left w:w="75" w:type="dxa"/>
              <w:bottom w:w="0" w:type="dxa"/>
              <w:right w:w="75" w:type="dxa"/>
            </w:tcMar>
            <w:vAlign w:val="center"/>
          </w:tcPr>
          <w:p>
            <w:pPr>
              <w:rPr>
                <w:rFonts w:hint="default" w:ascii="Times New Roman" w:hAnsi="Times New Roman" w:cs="Times New Roman"/>
                <w:sz w:val="19"/>
                <w:szCs w:val="19"/>
              </w:rPr>
            </w:pPr>
          </w:p>
        </w:tc>
        <w:tc>
          <w:tcPr>
            <w:tcW w:w="3780" w:type="dxa"/>
            <w:tcBorders>
              <w:top w:val="nil"/>
              <w:left w:val="nil"/>
              <w:bottom w:val="single" w:color="auto" w:sz="6" w:space="0"/>
              <w:right w:val="single" w:color="auto" w:sz="6" w:space="0"/>
            </w:tcBorders>
            <w:shd w:val="clear"/>
            <w:tcMar>
              <w:top w:w="0" w:type="dxa"/>
              <w:left w:w="75" w:type="dxa"/>
              <w:bottom w:w="0" w:type="dxa"/>
              <w:right w:w="75" w:type="dxa"/>
            </w:tcMar>
            <w:vAlign w:val="center"/>
          </w:tcPr>
          <w:p>
            <w:pPr>
              <w:pStyle w:val="4"/>
              <w:keepNext w:val="0"/>
              <w:keepLines w:val="0"/>
              <w:widowControl/>
              <w:suppressLineNumbers w:val="0"/>
              <w:spacing w:line="360" w:lineRule="atLeast"/>
              <w:jc w:val="both"/>
              <w:rPr>
                <w:sz w:val="24"/>
                <w:szCs w:val="24"/>
              </w:rPr>
            </w:pPr>
            <w:r>
              <w:rPr>
                <w:rFonts w:hint="eastAsia" w:ascii="仿宋_GB2312" w:hAnsi="Times New Roman" w:eastAsia="仿宋_GB2312" w:cs="仿宋_GB2312"/>
                <w:sz w:val="24"/>
                <w:szCs w:val="24"/>
                <w:bdr w:val="none" w:color="auto" w:sz="0" w:space="0"/>
              </w:rPr>
              <w:t>4-8万元/册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5" w:hRule="atLeast"/>
          <w:tblCellSpacing w:w="0" w:type="dxa"/>
          <w:jc w:val="center"/>
        </w:trPr>
        <w:tc>
          <w:tcPr>
            <w:tcW w:w="1380" w:type="dxa"/>
            <w:vMerge w:val="continue"/>
            <w:tcBorders>
              <w:top w:val="nil"/>
              <w:left w:val="single" w:color="auto" w:sz="6" w:space="0"/>
              <w:bottom w:val="single" w:color="auto" w:sz="6" w:space="0"/>
              <w:right w:val="single" w:color="auto" w:sz="6" w:space="0"/>
            </w:tcBorders>
            <w:shd w:val="clear"/>
            <w:tcMar>
              <w:top w:w="0" w:type="dxa"/>
              <w:left w:w="75" w:type="dxa"/>
              <w:bottom w:w="0" w:type="dxa"/>
              <w:right w:w="75" w:type="dxa"/>
            </w:tcMar>
            <w:vAlign w:val="center"/>
          </w:tcPr>
          <w:p>
            <w:pPr>
              <w:rPr>
                <w:rFonts w:hint="default" w:ascii="Times New Roman" w:hAnsi="Times New Roman" w:cs="Times New Roman"/>
                <w:sz w:val="19"/>
                <w:szCs w:val="19"/>
              </w:rPr>
            </w:pPr>
          </w:p>
        </w:tc>
        <w:tc>
          <w:tcPr>
            <w:tcW w:w="2925" w:type="dxa"/>
            <w:tcBorders>
              <w:top w:val="nil"/>
              <w:left w:val="nil"/>
              <w:bottom w:val="single" w:color="auto" w:sz="6" w:space="0"/>
              <w:right w:val="single" w:color="auto" w:sz="6" w:space="0"/>
            </w:tcBorders>
            <w:shd w:val="clear"/>
            <w:tcMar>
              <w:top w:w="0" w:type="dxa"/>
              <w:left w:w="75" w:type="dxa"/>
              <w:bottom w:w="0" w:type="dxa"/>
              <w:right w:w="75" w:type="dxa"/>
            </w:tcMar>
            <w:vAlign w:val="center"/>
          </w:tcPr>
          <w:p>
            <w:pPr>
              <w:pStyle w:val="4"/>
              <w:keepNext w:val="0"/>
              <w:keepLines w:val="0"/>
              <w:widowControl/>
              <w:suppressLineNumbers w:val="0"/>
              <w:spacing w:line="360" w:lineRule="atLeast"/>
              <w:jc w:val="both"/>
              <w:rPr>
                <w:sz w:val="24"/>
                <w:szCs w:val="24"/>
              </w:rPr>
            </w:pPr>
            <w:r>
              <w:rPr>
                <w:rFonts w:hint="eastAsia" w:ascii="仿宋_GB2312" w:hAnsi="Times New Roman" w:eastAsia="仿宋_GB2312" w:cs="仿宋_GB2312"/>
                <w:sz w:val="24"/>
                <w:szCs w:val="24"/>
                <w:bdr w:val="none" w:color="auto" w:sz="0" w:space="0"/>
              </w:rPr>
              <w:t>文献稿本、抄本、资料等整理影印</w:t>
            </w:r>
          </w:p>
        </w:tc>
        <w:tc>
          <w:tcPr>
            <w:tcW w:w="1575" w:type="dxa"/>
            <w:vMerge w:val="continue"/>
            <w:tcBorders>
              <w:top w:val="nil"/>
              <w:left w:val="nil"/>
              <w:bottom w:val="single" w:color="auto" w:sz="6" w:space="0"/>
              <w:right w:val="single" w:color="auto" w:sz="6" w:space="0"/>
            </w:tcBorders>
            <w:shd w:val="clear"/>
            <w:tcMar>
              <w:top w:w="0" w:type="dxa"/>
              <w:left w:w="75" w:type="dxa"/>
              <w:bottom w:w="0" w:type="dxa"/>
              <w:right w:w="75" w:type="dxa"/>
            </w:tcMar>
            <w:vAlign w:val="center"/>
          </w:tcPr>
          <w:p>
            <w:pPr>
              <w:rPr>
                <w:rFonts w:hint="default" w:ascii="Times New Roman" w:hAnsi="Times New Roman" w:cs="Times New Roman"/>
                <w:sz w:val="19"/>
                <w:szCs w:val="19"/>
              </w:rPr>
            </w:pPr>
          </w:p>
        </w:tc>
        <w:tc>
          <w:tcPr>
            <w:tcW w:w="3780" w:type="dxa"/>
            <w:tcBorders>
              <w:top w:val="nil"/>
              <w:left w:val="nil"/>
              <w:bottom w:val="single" w:color="auto" w:sz="6" w:space="0"/>
              <w:right w:val="single" w:color="auto" w:sz="6" w:space="0"/>
            </w:tcBorders>
            <w:shd w:val="clear"/>
            <w:tcMar>
              <w:top w:w="0" w:type="dxa"/>
              <w:left w:w="75" w:type="dxa"/>
              <w:bottom w:w="0" w:type="dxa"/>
              <w:right w:w="75" w:type="dxa"/>
            </w:tcMar>
            <w:vAlign w:val="center"/>
          </w:tcPr>
          <w:p>
            <w:pPr>
              <w:pStyle w:val="4"/>
              <w:keepNext w:val="0"/>
              <w:keepLines w:val="0"/>
              <w:widowControl/>
              <w:suppressLineNumbers w:val="0"/>
              <w:spacing w:line="360" w:lineRule="atLeast"/>
              <w:jc w:val="both"/>
              <w:rPr>
                <w:sz w:val="24"/>
                <w:szCs w:val="24"/>
              </w:rPr>
            </w:pPr>
            <w:r>
              <w:rPr>
                <w:rFonts w:hint="eastAsia" w:ascii="仿宋_GB2312" w:hAnsi="Times New Roman" w:eastAsia="仿宋_GB2312" w:cs="仿宋_GB2312"/>
                <w:sz w:val="24"/>
                <w:szCs w:val="24"/>
                <w:bdr w:val="none" w:color="auto" w:sz="0" w:space="0"/>
              </w:rPr>
              <w:t>0.5-1万元/册</w:t>
            </w:r>
          </w:p>
        </w:tc>
      </w:tr>
    </w:tbl>
    <w:p>
      <w:pPr>
        <w:pStyle w:val="4"/>
        <w:keepNext w:val="0"/>
        <w:keepLines w:val="0"/>
        <w:widowControl/>
        <w:suppressLineNumbers w:val="0"/>
        <w:spacing w:line="15" w:lineRule="atLeast"/>
        <w:rPr>
          <w:rFonts w:hint="default" w:ascii="Times New Roman" w:hAnsi="Times New Roman" w:cs="Times New Roman"/>
          <w:sz w:val="21"/>
          <w:szCs w:val="21"/>
        </w:rPr>
      </w:pPr>
      <w:r>
        <w:rPr>
          <w:rFonts w:ascii="Calibri" w:hAnsi="Calibri" w:cs="Calibri"/>
          <w:sz w:val="21"/>
          <w:szCs w:val="21"/>
        </w:rPr>
        <w:t> </w:t>
      </w:r>
    </w:p>
    <w:p>
      <w:pPr>
        <w:pStyle w:val="4"/>
        <w:keepNext w:val="0"/>
        <w:keepLines w:val="0"/>
        <w:widowControl/>
        <w:suppressLineNumbers w:val="0"/>
        <w:rPr>
          <w:rFonts w:hint="default" w:ascii="Times New Roman" w:hAnsi="Times New Roman" w:cs="Times New Roman"/>
          <w:sz w:val="21"/>
          <w:szCs w:val="21"/>
        </w:rPr>
      </w:pPr>
      <w:r>
        <w:rPr>
          <w:rFonts w:hint="eastAsia" w:ascii="宋体" w:hAnsi="宋体" w:eastAsia="宋体" w:cs="宋体"/>
          <w:sz w:val="21"/>
          <w:szCs w:val="21"/>
        </w:rPr>
        <w:t>  </w:t>
      </w:r>
    </w:p>
    <w:p>
      <w:pPr>
        <w:pStyle w:val="4"/>
        <w:keepNext w:val="0"/>
        <w:keepLines w:val="0"/>
        <w:widowControl/>
        <w:suppressLineNumbers w:val="0"/>
        <w:rPr>
          <w:rFonts w:hint="default" w:ascii="Times New Roman" w:hAnsi="Times New Roman" w:cs="Times New Roman"/>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7F41FE"/>
    <w:rsid w:val="4C0B2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2024-01-09T03:12:26Z</dcterms:created>
  <dc:creator>Administrator</dc:creator>
  <cp:lastModifiedBy>Administrator</cp:lastModifiedBy>
  <dcterms:modified xsi:type="dcterms:W3CDTF">2024-01-09T03:13:18Z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