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line="360" w:lineRule="atLeast"/>
        <w:jc w:val="center"/>
        <w:textAlignment w:val="baseline"/>
        <w:rPr>
          <w:rFonts w:hint="eastAsia" w:ascii="微软雅黑" w:hAnsi="微软雅黑" w:eastAsia="微软雅黑"/>
          <w:color w:val="3E3E3E"/>
          <w:sz w:val="44"/>
          <w:szCs w:val="44"/>
        </w:rPr>
      </w:pPr>
      <w:r>
        <w:rPr>
          <w:rFonts w:hint="eastAsia" w:ascii="微软雅黑" w:hAnsi="微软雅黑" w:eastAsia="微软雅黑"/>
          <w:color w:val="3E3E3E"/>
          <w:sz w:val="44"/>
          <w:szCs w:val="44"/>
        </w:rPr>
        <w:t> </w:t>
      </w:r>
      <w:r>
        <w:rPr>
          <w:rStyle w:val="4"/>
          <w:rFonts w:hint="eastAsia"/>
          <w:color w:val="3E3E3E"/>
          <w:sz w:val="44"/>
          <w:szCs w:val="44"/>
        </w:rPr>
        <w:t>关于科技人员取得职务科技成果转化现金奖励有关个人所得税政策的通知</w:t>
      </w:r>
    </w:p>
    <w:p>
      <w:pPr>
        <w:pStyle w:val="2"/>
        <w:shd w:val="clear" w:color="auto" w:fill="FFFFFF"/>
        <w:spacing w:before="0" w:beforeAutospacing="0" w:after="0" w:afterAutospacing="0" w:line="360" w:lineRule="atLeast"/>
        <w:jc w:val="center"/>
        <w:textAlignment w:val="baseline"/>
        <w:rPr>
          <w:rFonts w:hint="eastAsia" w:ascii="微软雅黑" w:hAnsi="微软雅黑" w:eastAsia="微软雅黑"/>
          <w:color w:val="3E3E3E"/>
          <w:sz w:val="28"/>
          <w:szCs w:val="28"/>
        </w:rPr>
      </w:pPr>
      <w:r>
        <w:rPr>
          <w:rStyle w:val="4"/>
          <w:rFonts w:hint="eastAsia"/>
          <w:color w:val="3E3E3E"/>
          <w:sz w:val="28"/>
          <w:szCs w:val="28"/>
        </w:rPr>
        <w:t>财税〔</w:t>
      </w:r>
      <w:r>
        <w:rPr>
          <w:rStyle w:val="4"/>
          <w:rFonts w:hint="eastAsia" w:ascii="微软雅黑" w:hAnsi="微软雅黑" w:eastAsia="微软雅黑"/>
          <w:color w:val="3E3E3E"/>
          <w:sz w:val="28"/>
          <w:szCs w:val="28"/>
        </w:rPr>
        <w:t>2018</w:t>
      </w:r>
      <w:r>
        <w:rPr>
          <w:rStyle w:val="4"/>
          <w:rFonts w:hint="eastAsia"/>
          <w:color w:val="3E3E3E"/>
          <w:sz w:val="28"/>
          <w:szCs w:val="28"/>
        </w:rPr>
        <w:t>〕</w:t>
      </w:r>
      <w:r>
        <w:rPr>
          <w:rStyle w:val="4"/>
          <w:rFonts w:hint="eastAsia" w:ascii="微软雅黑" w:hAnsi="微软雅黑" w:eastAsia="微软雅黑"/>
          <w:color w:val="3E3E3E"/>
          <w:sz w:val="28"/>
          <w:szCs w:val="28"/>
        </w:rPr>
        <w:t>58</w:t>
      </w:r>
      <w:r>
        <w:rPr>
          <w:rStyle w:val="4"/>
          <w:rFonts w:hint="eastAsia"/>
          <w:color w:val="3E3E3E"/>
          <w:sz w:val="28"/>
          <w:szCs w:val="28"/>
        </w:rPr>
        <w:t>号</w:t>
      </w:r>
    </w:p>
    <w:p>
      <w:pPr>
        <w:pStyle w:val="2"/>
        <w:shd w:val="clear" w:color="auto" w:fill="FFFFFF"/>
        <w:spacing w:before="0" w:beforeAutospacing="0" w:after="0" w:afterAutospacing="0" w:line="360" w:lineRule="atLeast"/>
        <w:textAlignment w:val="baseline"/>
        <w:rPr>
          <w:rFonts w:hint="eastAsia" w:ascii="仿宋" w:hAnsi="仿宋" w:eastAsia="仿宋" w:cs="仿宋"/>
          <w:color w:val="3E3E3E"/>
          <w:sz w:val="32"/>
          <w:szCs w:val="32"/>
        </w:rPr>
      </w:pPr>
      <w:r>
        <w:rPr>
          <w:rFonts w:hint="eastAsia"/>
          <w:color w:val="3E3E3E"/>
        </w:rPr>
        <w:br w:type="textWrapping"/>
      </w:r>
      <w:bookmarkStart w:id="0" w:name="_GoBack"/>
      <w:bookmarkEnd w:id="0"/>
      <w:r>
        <w:rPr>
          <w:rFonts w:hint="eastAsia" w:ascii="仿宋" w:hAnsi="仿宋" w:eastAsia="仿宋" w:cs="仿宋"/>
          <w:color w:val="3E3E3E"/>
          <w:sz w:val="32"/>
          <w:szCs w:val="32"/>
        </w:rPr>
        <w:t>各省、自治区、直辖市、计划单列市财政厅（局）、地方税务局、科技厅（委、局），新疆生产建设兵团财政局、科技局：</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textAlignment w:val="baseline"/>
        <w:outlineLvl w:val="9"/>
        <w:rPr>
          <w:rFonts w:hint="eastAsia" w:ascii="仿宋" w:hAnsi="仿宋" w:eastAsia="仿宋" w:cs="仿宋"/>
          <w:color w:val="3E3E3E"/>
          <w:sz w:val="32"/>
          <w:szCs w:val="32"/>
        </w:rPr>
      </w:pPr>
      <w:r>
        <w:rPr>
          <w:rFonts w:hint="eastAsia" w:ascii="仿宋" w:hAnsi="仿宋" w:eastAsia="仿宋" w:cs="仿宋"/>
          <w:color w:val="3E3E3E"/>
          <w:sz w:val="32"/>
          <w:szCs w:val="32"/>
        </w:rPr>
        <w:t>　　为进一步支持国家大众创业、万众创新战略的实施，促进科技成果转化，现将科技人员取得职务科技成果转化现金奖励有关个人所得税政策通知如下：</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textAlignment w:val="baseline"/>
        <w:outlineLvl w:val="9"/>
        <w:rPr>
          <w:rFonts w:hint="eastAsia" w:ascii="仿宋" w:hAnsi="仿宋" w:eastAsia="仿宋" w:cs="仿宋"/>
          <w:color w:val="3E3E3E"/>
          <w:sz w:val="32"/>
          <w:szCs w:val="32"/>
        </w:rPr>
      </w:pPr>
      <w:r>
        <w:rPr>
          <w:rFonts w:hint="eastAsia" w:ascii="仿宋" w:hAnsi="仿宋" w:eastAsia="仿宋" w:cs="仿宋"/>
          <w:color w:val="3E3E3E"/>
          <w:sz w:val="32"/>
          <w:szCs w:val="32"/>
        </w:rPr>
        <w:t>　　一、依法批准设立的非营利性研究开发机构和高等学校（以下简称非营利性科研机构和高校）根据《中华人民共和国促进科技成果转化法》规定，从职务科技成果转化收入中给予科技人员的现金奖励，可减按</w:t>
      </w:r>
      <w:r>
        <w:rPr>
          <w:rFonts w:hint="eastAsia" w:ascii="仿宋" w:hAnsi="仿宋" w:eastAsia="仿宋" w:cs="仿宋"/>
          <w:color w:val="3E3E3E"/>
          <w:sz w:val="32"/>
          <w:szCs w:val="32"/>
        </w:rPr>
        <w:t>50%</w:t>
      </w:r>
      <w:r>
        <w:rPr>
          <w:rFonts w:hint="eastAsia" w:ascii="仿宋" w:hAnsi="仿宋" w:eastAsia="仿宋" w:cs="仿宋"/>
          <w:color w:val="3E3E3E"/>
          <w:sz w:val="32"/>
          <w:szCs w:val="32"/>
        </w:rPr>
        <w:t>计入科技人员当月“工资、薪金所得”，依法缴纳个人所得税。</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textAlignment w:val="baseline"/>
        <w:outlineLvl w:val="9"/>
        <w:rPr>
          <w:rFonts w:hint="eastAsia" w:ascii="仿宋" w:hAnsi="仿宋" w:eastAsia="仿宋" w:cs="仿宋"/>
          <w:color w:val="3E3E3E"/>
          <w:sz w:val="32"/>
          <w:szCs w:val="32"/>
        </w:rPr>
      </w:pPr>
      <w:r>
        <w:rPr>
          <w:rFonts w:hint="eastAsia" w:ascii="仿宋" w:hAnsi="仿宋" w:eastAsia="仿宋" w:cs="仿宋"/>
          <w:color w:val="3E3E3E"/>
          <w:sz w:val="32"/>
          <w:szCs w:val="32"/>
        </w:rPr>
        <w:t>　　二、非营利性科研机构和高校包括国家设立的科研机构和高校、民办非营利性科研机构和高校。</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textAlignment w:val="baseline"/>
        <w:outlineLvl w:val="9"/>
        <w:rPr>
          <w:rFonts w:hint="eastAsia" w:ascii="仿宋" w:hAnsi="仿宋" w:eastAsia="仿宋" w:cs="仿宋"/>
          <w:color w:val="3E3E3E"/>
          <w:sz w:val="32"/>
          <w:szCs w:val="32"/>
        </w:rPr>
      </w:pPr>
      <w:r>
        <w:rPr>
          <w:rFonts w:hint="eastAsia" w:ascii="仿宋" w:hAnsi="仿宋" w:eastAsia="仿宋" w:cs="仿宋"/>
          <w:color w:val="3E3E3E"/>
          <w:sz w:val="32"/>
          <w:szCs w:val="32"/>
        </w:rPr>
        <w:t>　　三、国家设立的科研机构和高校是指利用财政性资金设立的、取得《事业单位法人证书》的科研机构和公办高校，包括中央和地方所属科研机构和高校。</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textAlignment w:val="baseline"/>
        <w:outlineLvl w:val="9"/>
        <w:rPr>
          <w:rFonts w:hint="eastAsia" w:ascii="仿宋" w:hAnsi="仿宋" w:eastAsia="仿宋" w:cs="仿宋"/>
          <w:color w:val="3E3E3E"/>
          <w:sz w:val="32"/>
          <w:szCs w:val="32"/>
        </w:rPr>
      </w:pPr>
      <w:r>
        <w:rPr>
          <w:rFonts w:hint="eastAsia" w:ascii="仿宋" w:hAnsi="仿宋" w:eastAsia="仿宋" w:cs="仿宋"/>
          <w:color w:val="3E3E3E"/>
          <w:sz w:val="32"/>
          <w:szCs w:val="32"/>
        </w:rPr>
        <w:t>　　四、民办非营利性科研机构和高校，是指同时满足以下条件的科研机构和高校：</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textAlignment w:val="baseline"/>
        <w:outlineLvl w:val="9"/>
        <w:rPr>
          <w:rFonts w:hint="eastAsia" w:ascii="仿宋" w:hAnsi="仿宋" w:eastAsia="仿宋" w:cs="仿宋"/>
          <w:color w:val="3E3E3E"/>
          <w:sz w:val="32"/>
          <w:szCs w:val="32"/>
        </w:rPr>
      </w:pPr>
      <w:r>
        <w:rPr>
          <w:rFonts w:hint="eastAsia" w:ascii="仿宋" w:hAnsi="仿宋" w:eastAsia="仿宋" w:cs="仿宋"/>
          <w:color w:val="3E3E3E"/>
          <w:sz w:val="32"/>
          <w:szCs w:val="32"/>
        </w:rPr>
        <w:t>　　（一）根据《民办非企业单位登记管理暂行条例》在民政部门登记，并取得《民办非企业单位登记证书》。</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textAlignment w:val="baseline"/>
        <w:outlineLvl w:val="9"/>
        <w:rPr>
          <w:rFonts w:hint="eastAsia" w:ascii="仿宋" w:hAnsi="仿宋" w:eastAsia="仿宋" w:cs="仿宋"/>
          <w:color w:val="3E3E3E"/>
          <w:sz w:val="32"/>
          <w:szCs w:val="32"/>
        </w:rPr>
      </w:pPr>
      <w:r>
        <w:rPr>
          <w:rFonts w:hint="eastAsia" w:ascii="仿宋" w:hAnsi="仿宋" w:eastAsia="仿宋" w:cs="仿宋"/>
          <w:color w:val="3E3E3E"/>
          <w:sz w:val="32"/>
          <w:szCs w:val="32"/>
        </w:rPr>
        <w:t>　　（二）对于民办非营利性科研机构，其《民办非企业单位登记证书》记载的业务范围应属于“科学研究与技术开发、成果转让、科技咨询与服务、科技成果评估”范围。对业务范围存在争议的，由税务机关转请县级（含）以上科技行政主管部门确认。</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textAlignment w:val="baseline"/>
        <w:outlineLvl w:val="9"/>
        <w:rPr>
          <w:rFonts w:hint="eastAsia" w:ascii="仿宋" w:hAnsi="仿宋" w:eastAsia="仿宋" w:cs="仿宋"/>
          <w:color w:val="3E3E3E"/>
          <w:sz w:val="32"/>
          <w:szCs w:val="32"/>
        </w:rPr>
      </w:pPr>
      <w:r>
        <w:rPr>
          <w:rFonts w:hint="eastAsia" w:ascii="仿宋" w:hAnsi="仿宋" w:eastAsia="仿宋" w:cs="仿宋"/>
          <w:color w:val="3E3E3E"/>
          <w:sz w:val="32"/>
          <w:szCs w:val="32"/>
        </w:rPr>
        <w:t>　　对于民办非营利性高校，应取得教育主管部门颁发的《民办学校办学许可证》，《民办学校办学许可证》记载学校类型为“高等学校”。</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textAlignment w:val="baseline"/>
        <w:outlineLvl w:val="9"/>
        <w:rPr>
          <w:rFonts w:hint="eastAsia" w:ascii="仿宋" w:hAnsi="仿宋" w:eastAsia="仿宋" w:cs="仿宋"/>
          <w:color w:val="3E3E3E"/>
          <w:sz w:val="32"/>
          <w:szCs w:val="32"/>
        </w:rPr>
      </w:pPr>
      <w:r>
        <w:rPr>
          <w:rFonts w:hint="eastAsia" w:ascii="仿宋" w:hAnsi="仿宋" w:eastAsia="仿宋" w:cs="仿宋"/>
          <w:color w:val="3E3E3E"/>
          <w:sz w:val="32"/>
          <w:szCs w:val="32"/>
        </w:rPr>
        <w:t>　　（三）经认定取得企业所得税非营利组织免税资格。</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textAlignment w:val="baseline"/>
        <w:outlineLvl w:val="9"/>
        <w:rPr>
          <w:rFonts w:hint="eastAsia" w:ascii="仿宋" w:hAnsi="仿宋" w:eastAsia="仿宋" w:cs="仿宋"/>
          <w:color w:val="3E3E3E"/>
          <w:sz w:val="32"/>
          <w:szCs w:val="32"/>
        </w:rPr>
      </w:pPr>
      <w:r>
        <w:rPr>
          <w:rFonts w:hint="eastAsia" w:ascii="仿宋" w:hAnsi="仿宋" w:eastAsia="仿宋" w:cs="仿宋"/>
          <w:color w:val="3E3E3E"/>
          <w:sz w:val="32"/>
          <w:szCs w:val="32"/>
        </w:rPr>
        <w:t>　　五、科技人员享受本通知规定税收优惠政策，须同时符合以下条件：</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textAlignment w:val="baseline"/>
        <w:outlineLvl w:val="9"/>
        <w:rPr>
          <w:rFonts w:hint="eastAsia" w:ascii="仿宋" w:hAnsi="仿宋" w:eastAsia="仿宋" w:cs="仿宋"/>
          <w:color w:val="3E3E3E"/>
          <w:sz w:val="32"/>
          <w:szCs w:val="32"/>
        </w:rPr>
      </w:pPr>
      <w:r>
        <w:rPr>
          <w:rFonts w:hint="eastAsia" w:ascii="仿宋" w:hAnsi="仿宋" w:eastAsia="仿宋" w:cs="仿宋"/>
          <w:color w:val="3E3E3E"/>
          <w:sz w:val="32"/>
          <w:szCs w:val="32"/>
        </w:rPr>
        <w:t>　　（一）科技人员是指非营利性科研机构和高校中对完成或转化职务科技成果作出重要贡献的人员。非营利性科研机构和高校应按规定公示有关科技人员名单及相关信息（国防专利转化除外），具体公示办法由科技部会同财政部、税务总局制定。</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textAlignment w:val="baseline"/>
        <w:outlineLvl w:val="9"/>
        <w:rPr>
          <w:rFonts w:hint="eastAsia" w:ascii="仿宋" w:hAnsi="仿宋" w:eastAsia="仿宋" w:cs="仿宋"/>
          <w:color w:val="3E3E3E"/>
          <w:sz w:val="32"/>
          <w:szCs w:val="32"/>
        </w:rPr>
      </w:pPr>
      <w:r>
        <w:rPr>
          <w:rFonts w:hint="eastAsia" w:ascii="仿宋" w:hAnsi="仿宋" w:eastAsia="仿宋" w:cs="仿宋"/>
          <w:color w:val="3E3E3E"/>
          <w:sz w:val="32"/>
          <w:szCs w:val="32"/>
        </w:rPr>
        <w:t>　　（二）科技成果是指专利技术（含国防专利）、计算机软件著作权、集成电路布图设计专有权、植物新品种权、生物医药新品种，以及科技部、财政部、税务总局确定的其他技术成果。</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textAlignment w:val="baseline"/>
        <w:outlineLvl w:val="9"/>
        <w:rPr>
          <w:rFonts w:hint="eastAsia" w:ascii="仿宋" w:hAnsi="仿宋" w:eastAsia="仿宋" w:cs="仿宋"/>
          <w:color w:val="3E3E3E"/>
          <w:sz w:val="32"/>
          <w:szCs w:val="32"/>
        </w:rPr>
      </w:pPr>
      <w:r>
        <w:rPr>
          <w:rFonts w:hint="eastAsia" w:ascii="仿宋" w:hAnsi="仿宋" w:eastAsia="仿宋" w:cs="仿宋"/>
          <w:color w:val="3E3E3E"/>
          <w:sz w:val="32"/>
          <w:szCs w:val="32"/>
        </w:rPr>
        <w:t>　　（三）科技成果转化是指非营利性科研机构和高校向他人转让科技成果或者许可他人使用科技成果。现金奖励是指非营利性科研机构和高校在取得科技成果转化收入三年（</w:t>
      </w:r>
      <w:r>
        <w:rPr>
          <w:rFonts w:hint="eastAsia" w:ascii="仿宋" w:hAnsi="仿宋" w:eastAsia="仿宋" w:cs="仿宋"/>
          <w:color w:val="3E3E3E"/>
          <w:sz w:val="32"/>
          <w:szCs w:val="32"/>
        </w:rPr>
        <w:t>36</w:t>
      </w:r>
      <w:r>
        <w:rPr>
          <w:rFonts w:hint="eastAsia" w:ascii="仿宋" w:hAnsi="仿宋" w:eastAsia="仿宋" w:cs="仿宋"/>
          <w:color w:val="3E3E3E"/>
          <w:sz w:val="32"/>
          <w:szCs w:val="32"/>
        </w:rPr>
        <w:t>个月）内奖励给科技人员的现金。</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textAlignment w:val="baseline"/>
        <w:outlineLvl w:val="9"/>
        <w:rPr>
          <w:rFonts w:hint="eastAsia" w:ascii="仿宋" w:hAnsi="仿宋" w:eastAsia="仿宋" w:cs="仿宋"/>
          <w:color w:val="3E3E3E"/>
          <w:sz w:val="32"/>
          <w:szCs w:val="32"/>
        </w:rPr>
      </w:pPr>
      <w:r>
        <w:rPr>
          <w:rFonts w:hint="eastAsia" w:ascii="仿宋" w:hAnsi="仿宋" w:eastAsia="仿宋" w:cs="仿宋"/>
          <w:color w:val="3E3E3E"/>
          <w:sz w:val="32"/>
          <w:szCs w:val="32"/>
        </w:rPr>
        <w:t>　　（四）非营利性科研机构和高校转化科技成果，应当签订技术合同，并根据《技术合同认定登记管理办法》，在技术合同登记机构进行审核登记，并取得技术合同认定登记证明。</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textAlignment w:val="baseline"/>
        <w:outlineLvl w:val="9"/>
        <w:rPr>
          <w:rFonts w:hint="eastAsia" w:ascii="仿宋" w:hAnsi="仿宋" w:eastAsia="仿宋" w:cs="仿宋"/>
          <w:color w:val="3E3E3E"/>
          <w:sz w:val="32"/>
          <w:szCs w:val="32"/>
        </w:rPr>
      </w:pPr>
      <w:r>
        <w:rPr>
          <w:rFonts w:hint="eastAsia" w:ascii="仿宋" w:hAnsi="仿宋" w:eastAsia="仿宋" w:cs="仿宋"/>
          <w:color w:val="3E3E3E"/>
          <w:sz w:val="32"/>
          <w:szCs w:val="32"/>
        </w:rPr>
        <w:t>　　非营利性科研机构和高校应健全科技成果转化的资金核算，不得将正常工资、奖金等收入列入科技人员职务科技成果转化现金奖励享受税收优惠。</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textAlignment w:val="baseline"/>
        <w:outlineLvl w:val="9"/>
        <w:rPr>
          <w:rFonts w:hint="eastAsia" w:ascii="仿宋" w:hAnsi="仿宋" w:eastAsia="仿宋" w:cs="仿宋"/>
          <w:color w:val="3E3E3E"/>
          <w:sz w:val="32"/>
          <w:szCs w:val="32"/>
        </w:rPr>
      </w:pPr>
      <w:r>
        <w:rPr>
          <w:rFonts w:hint="eastAsia" w:ascii="仿宋" w:hAnsi="仿宋" w:eastAsia="仿宋" w:cs="仿宋"/>
          <w:color w:val="3E3E3E"/>
          <w:sz w:val="32"/>
          <w:szCs w:val="32"/>
        </w:rPr>
        <w:t>　　六、非营利性科研机构和高校向科技人员发放现金奖励时，应按个人所得税法规定代扣代缴个人所得税，并按规定向税务机关履行备案手续。</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textAlignment w:val="baseline"/>
        <w:outlineLvl w:val="9"/>
        <w:rPr>
          <w:rFonts w:hint="eastAsia" w:ascii="仿宋" w:hAnsi="仿宋" w:eastAsia="仿宋" w:cs="仿宋"/>
          <w:color w:val="3E3E3E"/>
          <w:sz w:val="32"/>
          <w:szCs w:val="32"/>
        </w:rPr>
      </w:pPr>
      <w:r>
        <w:rPr>
          <w:rFonts w:hint="eastAsia" w:ascii="仿宋" w:hAnsi="仿宋" w:eastAsia="仿宋" w:cs="仿宋"/>
          <w:color w:val="3E3E3E"/>
          <w:sz w:val="32"/>
          <w:szCs w:val="32"/>
        </w:rPr>
        <w:t>　　七、本通知自</w:t>
      </w:r>
      <w:r>
        <w:rPr>
          <w:rFonts w:hint="eastAsia" w:ascii="仿宋" w:hAnsi="仿宋" w:eastAsia="仿宋" w:cs="仿宋"/>
          <w:color w:val="3E3E3E"/>
          <w:sz w:val="32"/>
          <w:szCs w:val="32"/>
        </w:rPr>
        <w:t>2018</w:t>
      </w:r>
      <w:r>
        <w:rPr>
          <w:rFonts w:hint="eastAsia" w:ascii="仿宋" w:hAnsi="仿宋" w:eastAsia="仿宋" w:cs="仿宋"/>
          <w:color w:val="3E3E3E"/>
          <w:sz w:val="32"/>
          <w:szCs w:val="32"/>
        </w:rPr>
        <w:t>年</w:t>
      </w:r>
      <w:r>
        <w:rPr>
          <w:rFonts w:hint="eastAsia" w:ascii="仿宋" w:hAnsi="仿宋" w:eastAsia="仿宋" w:cs="仿宋"/>
          <w:color w:val="3E3E3E"/>
          <w:sz w:val="32"/>
          <w:szCs w:val="32"/>
        </w:rPr>
        <w:t>7</w:t>
      </w:r>
      <w:r>
        <w:rPr>
          <w:rFonts w:hint="eastAsia" w:ascii="仿宋" w:hAnsi="仿宋" w:eastAsia="仿宋" w:cs="仿宋"/>
          <w:color w:val="3E3E3E"/>
          <w:sz w:val="32"/>
          <w:szCs w:val="32"/>
        </w:rPr>
        <w:t>月</w:t>
      </w:r>
      <w:r>
        <w:rPr>
          <w:rFonts w:hint="eastAsia" w:ascii="仿宋" w:hAnsi="仿宋" w:eastAsia="仿宋" w:cs="仿宋"/>
          <w:color w:val="3E3E3E"/>
          <w:sz w:val="32"/>
          <w:szCs w:val="32"/>
        </w:rPr>
        <w:t>1</w:t>
      </w:r>
      <w:r>
        <w:rPr>
          <w:rFonts w:hint="eastAsia" w:ascii="仿宋" w:hAnsi="仿宋" w:eastAsia="仿宋" w:cs="仿宋"/>
          <w:color w:val="3E3E3E"/>
          <w:sz w:val="32"/>
          <w:szCs w:val="32"/>
        </w:rPr>
        <w:t>日起施行。本通知施行前非营利性科研机构和高校取得的科技成果转化收入，自施行后</w:t>
      </w:r>
      <w:r>
        <w:rPr>
          <w:rFonts w:hint="eastAsia" w:ascii="仿宋" w:hAnsi="仿宋" w:eastAsia="仿宋" w:cs="仿宋"/>
          <w:color w:val="3E3E3E"/>
          <w:sz w:val="32"/>
          <w:szCs w:val="32"/>
        </w:rPr>
        <w:t>36</w:t>
      </w:r>
      <w:r>
        <w:rPr>
          <w:rFonts w:hint="eastAsia" w:ascii="仿宋" w:hAnsi="仿宋" w:eastAsia="仿宋" w:cs="仿宋"/>
          <w:color w:val="3E3E3E"/>
          <w:sz w:val="32"/>
          <w:szCs w:val="32"/>
        </w:rPr>
        <w:t>个月内给科技人员发放现金奖励，符合本通知规定的其他条件的，适用本通知。</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jc w:val="right"/>
        <w:textAlignment w:val="baseline"/>
        <w:outlineLvl w:val="9"/>
        <w:rPr>
          <w:rFonts w:hint="eastAsia" w:ascii="仿宋" w:hAnsi="仿宋" w:eastAsia="仿宋" w:cs="仿宋"/>
          <w:color w:val="3E3E3E"/>
          <w:sz w:val="32"/>
          <w:szCs w:val="32"/>
        </w:rPr>
      </w:pP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jc w:val="right"/>
        <w:textAlignment w:val="baseline"/>
        <w:outlineLvl w:val="9"/>
        <w:rPr>
          <w:rFonts w:hint="eastAsia" w:ascii="仿宋" w:hAnsi="仿宋" w:eastAsia="仿宋" w:cs="仿宋"/>
          <w:color w:val="3E3E3E"/>
          <w:sz w:val="32"/>
          <w:szCs w:val="32"/>
        </w:rPr>
      </w:pP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jc w:val="right"/>
        <w:textAlignment w:val="baseline"/>
        <w:outlineLvl w:val="9"/>
        <w:rPr>
          <w:rFonts w:hint="eastAsia" w:ascii="仿宋" w:hAnsi="仿宋" w:eastAsia="仿宋" w:cs="仿宋"/>
          <w:color w:val="3E3E3E"/>
          <w:sz w:val="32"/>
          <w:szCs w:val="32"/>
        </w:rPr>
      </w:pP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jc w:val="right"/>
        <w:textAlignment w:val="baseline"/>
        <w:outlineLvl w:val="9"/>
        <w:rPr>
          <w:rFonts w:hint="eastAsia" w:ascii="仿宋" w:hAnsi="仿宋" w:eastAsia="仿宋" w:cs="仿宋"/>
          <w:color w:val="3E3E3E"/>
          <w:sz w:val="32"/>
          <w:szCs w:val="32"/>
        </w:rPr>
      </w:pP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jc w:val="center"/>
        <w:textAlignment w:val="baseline"/>
        <w:outlineLvl w:val="9"/>
        <w:rPr>
          <w:rFonts w:hint="eastAsia" w:ascii="仿宋" w:hAnsi="仿宋" w:eastAsia="仿宋" w:cs="仿宋"/>
          <w:color w:val="3E3E3E"/>
          <w:sz w:val="32"/>
          <w:szCs w:val="32"/>
        </w:rPr>
      </w:pPr>
      <w:r>
        <w:rPr>
          <w:rFonts w:hint="eastAsia" w:ascii="仿宋" w:hAnsi="仿宋" w:eastAsia="仿宋" w:cs="仿宋"/>
          <w:color w:val="3E3E3E"/>
          <w:sz w:val="32"/>
          <w:szCs w:val="32"/>
          <w:lang w:val="en-US" w:eastAsia="zh-CN"/>
        </w:rPr>
        <w:t xml:space="preserve">                     </w:t>
      </w:r>
      <w:r>
        <w:rPr>
          <w:rFonts w:hint="eastAsia" w:ascii="仿宋" w:hAnsi="仿宋" w:eastAsia="仿宋" w:cs="仿宋"/>
          <w:color w:val="3E3E3E"/>
          <w:sz w:val="32"/>
          <w:szCs w:val="32"/>
        </w:rPr>
        <w:t>财政部　税务总局　科技部</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jc w:val="center"/>
        <w:textAlignment w:val="baseline"/>
        <w:outlineLvl w:val="9"/>
        <w:rPr>
          <w:rFonts w:hint="eastAsia" w:ascii="仿宋" w:hAnsi="仿宋" w:eastAsia="仿宋" w:cs="仿宋"/>
          <w:color w:val="3E3E3E"/>
          <w:sz w:val="32"/>
          <w:szCs w:val="32"/>
        </w:rPr>
      </w:pPr>
      <w:r>
        <w:rPr>
          <w:rFonts w:hint="eastAsia" w:ascii="仿宋" w:hAnsi="仿宋" w:eastAsia="仿宋" w:cs="仿宋"/>
          <w:color w:val="3E3E3E"/>
          <w:sz w:val="32"/>
          <w:szCs w:val="32"/>
          <w:lang w:val="en-US" w:eastAsia="zh-CN"/>
        </w:rPr>
        <w:t xml:space="preserve">                     </w:t>
      </w:r>
      <w:r>
        <w:rPr>
          <w:rFonts w:hint="eastAsia" w:ascii="仿宋" w:hAnsi="仿宋" w:eastAsia="仿宋" w:cs="仿宋"/>
          <w:color w:val="3E3E3E"/>
          <w:sz w:val="32"/>
          <w:szCs w:val="32"/>
        </w:rPr>
        <w:t>2018</w:t>
      </w:r>
      <w:r>
        <w:rPr>
          <w:rFonts w:hint="eastAsia" w:ascii="仿宋" w:hAnsi="仿宋" w:eastAsia="仿宋" w:cs="仿宋"/>
          <w:color w:val="3E3E3E"/>
          <w:sz w:val="32"/>
          <w:szCs w:val="32"/>
        </w:rPr>
        <w:t>年</w:t>
      </w:r>
      <w:r>
        <w:rPr>
          <w:rFonts w:hint="eastAsia" w:ascii="仿宋" w:hAnsi="仿宋" w:eastAsia="仿宋" w:cs="仿宋"/>
          <w:color w:val="3E3E3E"/>
          <w:sz w:val="32"/>
          <w:szCs w:val="32"/>
        </w:rPr>
        <w:t>5</w:t>
      </w:r>
      <w:r>
        <w:rPr>
          <w:rFonts w:hint="eastAsia" w:ascii="仿宋" w:hAnsi="仿宋" w:eastAsia="仿宋" w:cs="仿宋"/>
          <w:color w:val="3E3E3E"/>
          <w:sz w:val="32"/>
          <w:szCs w:val="32"/>
        </w:rPr>
        <w:t>月</w:t>
      </w:r>
      <w:r>
        <w:rPr>
          <w:rFonts w:hint="eastAsia" w:ascii="仿宋" w:hAnsi="仿宋" w:eastAsia="仿宋" w:cs="仿宋"/>
          <w:color w:val="3E3E3E"/>
          <w:sz w:val="32"/>
          <w:szCs w:val="32"/>
        </w:rPr>
        <w:t>29</w:t>
      </w:r>
      <w:r>
        <w:rPr>
          <w:rFonts w:hint="eastAsia" w:ascii="仿宋" w:hAnsi="仿宋" w:eastAsia="仿宋" w:cs="仿宋"/>
          <w:color w:val="3E3E3E"/>
          <w:sz w:val="32"/>
          <w:szCs w:val="32"/>
        </w:rPr>
        <w:t>日</w:t>
      </w:r>
    </w:p>
    <w:p>
      <w:pPr>
        <w:pStyle w:val="2"/>
        <w:keepNext w:val="0"/>
        <w:keepLines w:val="0"/>
        <w:pageBreakBefore w:val="0"/>
        <w:shd w:val="clear" w:color="auto" w:fill="FFFFFF"/>
        <w:kinsoku/>
        <w:wordWrap/>
        <w:overflowPunct/>
        <w:topLinePunct w:val="0"/>
        <w:autoSpaceDE/>
        <w:autoSpaceDN/>
        <w:bidi w:val="0"/>
        <w:adjustRightInd/>
        <w:snapToGrid/>
        <w:spacing w:before="150" w:beforeAutospacing="0" w:after="0" w:afterAutospacing="0" w:line="500" w:lineRule="exact"/>
        <w:textAlignment w:val="baseline"/>
        <w:outlineLvl w:val="9"/>
        <w:rPr>
          <w:rFonts w:hint="eastAsia" w:ascii="仿宋" w:hAnsi="仿宋" w:eastAsia="仿宋" w:cs="仿宋"/>
          <w:color w:val="3E3E3E"/>
          <w:sz w:val="32"/>
          <w:szCs w:val="32"/>
        </w:rPr>
      </w:pPr>
      <w:r>
        <w:rPr>
          <w:rFonts w:hint="eastAsia" w:ascii="仿宋" w:hAnsi="仿宋" w:eastAsia="仿宋" w:cs="仿宋"/>
          <w:color w:val="3E3E3E"/>
          <w:sz w:val="32"/>
          <w:szCs w:val="32"/>
        </w:rPr>
        <w:t> </w:t>
      </w:r>
    </w:p>
    <w:p>
      <w:pPr>
        <w:keepNext w:val="0"/>
        <w:keepLines w:val="0"/>
        <w:pageBreakBefore w:val="0"/>
        <w:kinsoku/>
        <w:wordWrap/>
        <w:overflowPunct/>
        <w:topLinePunct w:val="0"/>
        <w:autoSpaceDE/>
        <w:autoSpaceDN/>
        <w:bidi w:val="0"/>
        <w:adjustRightInd/>
        <w:snapToGrid/>
        <w:spacing w:line="500" w:lineRule="exact"/>
        <w:outlineLvl w:val="9"/>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336"/>
    <w:rsid w:val="00543E96"/>
    <w:rsid w:val="00961336"/>
    <w:rsid w:val="08773DB0"/>
    <w:rsid w:val="25523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styleId="4">
    <w:name w:val="Strong"/>
    <w:basedOn w:val="3"/>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202</Words>
  <Characters>1155</Characters>
  <Lines>9</Lines>
  <Paragraphs>2</Paragraphs>
  <TotalTime>3</TotalTime>
  <ScaleCrop>false</ScaleCrop>
  <LinksUpToDate>false</LinksUpToDate>
  <CharactersWithSpaces>1355</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2018-07-09T02:25:00Z</dcterms:created>
  <dc:creator>郑慧香</dc:creator>
  <cp:lastModifiedBy>Administrator</cp:lastModifiedBy>
  <dcterms:modified xsi:type="dcterms:W3CDTF">2018-07-09T02:33:53Z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